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Répartition de la BIC</w:t>
      </w:r>
    </w:p>
    <w:p>
      <w:pPr>
        <w:pStyle w:val="Heading1"/>
      </w:pPr>
      <w:r>
        <w:rPr>
          <w:b w:val="0"/>
          <w:i w:val="0"/>
        </w:rPr>
        <w:t>Répartition de la BIC (Bonification Individuelle de Carrière)</w:t>
      </w:r>
    </w:p>
    <w:p>
      <w:r>
        <w:rPr>
          <w:b/>
          <w:i w:val="0"/>
        </w:rPr>
        <w:t>Qui est concerné</w:t>
      </w:r>
    </w:p>
    <w:p>
      <w:r>
        <w:rPr>
          <w:b w:val="0"/>
          <w:i w:val="0"/>
        </w:rPr>
        <w:t xml:space="preserve">Vous, si vous êtes salarié </w:t>
      </w:r>
      <w:r>
        <w:rPr>
          <w:b/>
          <w:i w:val="0"/>
        </w:rPr>
        <w:t>non-praticien</w:t>
      </w:r>
      <w:r>
        <w:rPr>
          <w:b w:val="0"/>
          <w:i w:val="0"/>
        </w:rPr>
        <w:t xml:space="preserve"> et éligible — la BIC est un complément individuel de rémunération prévu par la CCN des CLCC.</w:t>
      </w:r>
    </w:p>
    <w:p>
      <w:r>
        <w:rPr>
          <w:b/>
          <w:i w:val="0"/>
        </w:rPr>
        <w:t>Comment l'enveloppe est définie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(CCN, art. 2.5.2.2.3)</w:t>
      </w:r>
    </w:p>
    <w:p>
      <w:pPr>
        <w:pStyle w:val="ListBullet"/>
      </w:pPr>
      <w:r>
        <w:rPr>
          <w:b w:val="0"/>
          <w:i w:val="0"/>
        </w:rPr>
        <w:t xml:space="preserve">Chaque année, l'enveloppe totale de BIC ne peut être </w:t>
      </w:r>
      <w:r>
        <w:rPr>
          <w:b/>
          <w:i w:val="0"/>
        </w:rPr>
        <w:t>inférieure à 0,5 %</w:t>
      </w:r>
      <w:r>
        <w:rPr>
          <w:b w:val="0"/>
          <w:i w:val="0"/>
        </w:rPr>
        <w:t xml:space="preserve"> de la masse des rémunérations minimales annuelles garanties (RMAG) — ce montant ne peut pas être pris sur les augmentations générales</w:t>
      </w:r>
    </w:p>
    <w:p>
      <w:pPr>
        <w:pStyle w:val="ListBullet"/>
      </w:pPr>
      <w:r>
        <w:rPr>
          <w:b w:val="0"/>
          <w:i w:val="0"/>
        </w:rPr>
        <w:t xml:space="preserve">Votre BIC individuelle est plafonnée à </w:t>
      </w:r>
      <w:r>
        <w:rPr>
          <w:b/>
          <w:i w:val="0"/>
        </w:rPr>
        <w:t>2 % de votre RMAG</w:t>
      </w:r>
    </w:p>
    <w:p>
      <w:pPr>
        <w:pStyle w:val="ListBullet"/>
      </w:pPr>
      <w:r>
        <w:rPr>
          <w:b w:val="0"/>
          <w:i w:val="0"/>
        </w:rPr>
        <w:t xml:space="preserve">Versée en une fois, sur la </w:t>
      </w:r>
      <w:r>
        <w:rPr>
          <w:b/>
          <w:i w:val="0"/>
        </w:rPr>
        <w:t>paie d'avril</w:t>
      </w:r>
      <w:r>
        <w:rPr>
          <w:b w:val="0"/>
          <w:i w:val="0"/>
        </w:rPr>
        <w:t>, et apparaît distinctement sur votre bulletin de salaire</w:t>
      </w:r>
    </w:p>
    <w:p>
      <w:pPr>
        <w:pStyle w:val="ListBullet"/>
      </w:pPr>
      <w:r>
        <w:rPr>
          <w:b w:val="0"/>
          <w:i w:val="0"/>
        </w:rPr>
        <w:t xml:space="preserve">Condition d'éligibilité : au moins </w:t>
      </w:r>
      <w:r>
        <w:rPr>
          <w:b/>
          <w:i w:val="0"/>
        </w:rPr>
        <w:t>6 mois d'ancienneté</w:t>
      </w:r>
      <w:r>
        <w:rPr>
          <w:b w:val="0"/>
          <w:i w:val="0"/>
        </w:rPr>
        <w:t xml:space="preserve">, avec une évaluation lors de votre entretien annuel d'appréciation </w:t>
      </w:r>
      <w:r>
        <w:rPr>
          <w:b w:val="0"/>
          <w:i/>
          <w:color w:val="5B6578"/>
        </w:rPr>
        <w:t>(CCN, art. 2.5.2.2.2)</w:t>
      </w:r>
    </w:p>
    <w:p>
      <w:r>
        <w:rPr>
          <w:b/>
          <w:i w:val="0"/>
        </w:rPr>
        <w:t>Ce que cet accord local change</w:t>
      </w:r>
    </w:p>
    <w:p>
      <w:pPr>
        <w:pStyle w:val="ListBullet"/>
      </w:pPr>
      <w:r>
        <w:rPr>
          <w:b w:val="0"/>
          <w:i w:val="0"/>
        </w:rPr>
        <w:t xml:space="preserve">Votre BIC n'est plus modulée selon votre évaluation individuelle : </w:t>
      </w:r>
      <w:r>
        <w:rPr>
          <w:b/>
          <w:i w:val="0"/>
        </w:rPr>
        <w:t>le même taux est appliqué à tous les salariés éligibles</w:t>
      </w:r>
      <w:r>
        <w:rPr>
          <w:b w:val="0"/>
          <w:i w:val="0"/>
        </w:rPr>
        <w:t xml:space="preserve"> de l'ICO, calculé en pourcentage de votre RMAG</w:t>
      </w:r>
    </w:p>
    <w:p>
      <w:pPr>
        <w:pStyle w:val="ListBullet"/>
      </w:pPr>
      <w:r>
        <w:rPr>
          <w:b w:val="0"/>
          <w:i w:val="0"/>
        </w:rPr>
        <w:t>Tout le reste (conditions d'éligibilité, plafond, versement) reste celui fixé par la CCN</w:t>
      </w:r>
    </w:p>
    <w:p>
      <w:r>
        <w:rPr>
          <w:b/>
          <w:i w:val="0"/>
        </w:rPr>
        <w:t>Signataires</w:t>
      </w:r>
      <w:r>
        <w:rPr>
          <w:b w:val="0"/>
          <w:i w:val="0"/>
        </w:rPr>
        <w:t xml:space="preserve"> : CGT-FO, Sud Santé-Sociaux, CFE-CGC — les 3 organisations ont signé.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du 11 mars 2025. Références CCN : art. 2.5.2.2 et 2.5.2.2.3.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