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CDD à objet défini</w:t>
      </w:r>
    </w:p>
    <w:p>
      <w:pPr>
        <w:pStyle w:val="Heading1"/>
      </w:pPr>
      <w:r>
        <w:rPr>
          <w:b w:val="0"/>
          <w:i w:val="0"/>
        </w:rPr>
        <w:t>Contrat à Durée Déterminée à Objet Défini (CDD)</w:t>
      </w:r>
    </w:p>
    <w:p>
      <w:r>
        <w:rPr>
          <w:b/>
          <w:i w:val="0"/>
        </w:rPr>
        <w:t>Qui est concerné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1)</w:t>
      </w:r>
    </w:p>
    <w:p>
      <w:r>
        <w:rPr>
          <w:b w:val="0"/>
          <w:i w:val="0"/>
        </w:rPr>
        <w:t xml:space="preserve">Les </w:t>
      </w:r>
      <w:r>
        <w:rPr>
          <w:b/>
          <w:i w:val="0"/>
        </w:rPr>
        <w:t>ingénieurs ou cadres</w:t>
      </w:r>
      <w:r>
        <w:rPr>
          <w:b w:val="0"/>
          <w:i w:val="0"/>
        </w:rPr>
        <w:t xml:space="preserve"> (au sens de la CCN des CLCC) recrutés pour un travail de recherche temporaire (étude clinique, projet à financement dédié, PHRC...) ou une mission de conseil/expertise sur un projet non pérenne. Ce contrat ne peut jamais servir à pourvoir un emploi permanent.</w:t>
      </w:r>
    </w:p>
    <w:p>
      <w:r>
        <w:rPr>
          <w:b/>
          <w:i w:val="0"/>
        </w:rPr>
        <w:t>Durée et fin de contrat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2)</w:t>
      </w:r>
    </w:p>
    <w:p>
      <w:pPr>
        <w:pStyle w:val="ListBullet"/>
      </w:pPr>
      <w:r>
        <w:rPr>
          <w:b w:val="0"/>
          <w:i w:val="0"/>
        </w:rPr>
        <w:t xml:space="preserve">Durée : </w:t>
      </w:r>
      <w:r>
        <w:rPr>
          <w:b/>
          <w:i w:val="0"/>
        </w:rPr>
        <w:t>18 à 36 mois</w:t>
      </w:r>
      <w:r>
        <w:rPr>
          <w:b w:val="0"/>
          <w:i w:val="0"/>
        </w:rPr>
        <w:t>, non renouvelable</w:t>
      </w:r>
    </w:p>
    <w:p>
      <w:pPr>
        <w:pStyle w:val="ListBullet"/>
      </w:pPr>
      <w:r>
        <w:rPr>
          <w:b w:val="0"/>
          <w:i w:val="0"/>
        </w:rPr>
        <w:t xml:space="preserve">Fin automatique à la réalisation de l'objet, avec un </w:t>
      </w:r>
      <w:r>
        <w:rPr>
          <w:b/>
          <w:i w:val="0"/>
        </w:rPr>
        <w:t>délai de prévenance de 2 mois</w:t>
      </w:r>
    </w:p>
    <w:p>
      <w:pPr>
        <w:pStyle w:val="ListBullet"/>
      </w:pPr>
      <w:r>
        <w:rPr>
          <w:b w:val="0"/>
          <w:i w:val="0"/>
        </w:rPr>
        <w:t xml:space="preserve">Rupture anticipée possible pour cause réelle et sérieuse, aux dates anniversaires de </w:t>
      </w:r>
      <w:r>
        <w:rPr>
          <w:b/>
          <w:i w:val="0"/>
        </w:rPr>
        <w:t>18 ou 24 mois</w:t>
      </w:r>
    </w:p>
    <w:p>
      <w:r>
        <w:rPr>
          <w:b/>
          <w:i w:val="0"/>
        </w:rPr>
        <w:t>Votre indemnité de fin de contrat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3)</w:t>
      </w:r>
    </w:p>
    <w:p>
      <w:r>
        <w:rPr>
          <w:b w:val="0"/>
          <w:i w:val="0"/>
        </w:rPr>
        <w:t xml:space="preserve">Si le contrat ne débouche pas sur un CDI : indemnité spécifique de </w:t>
      </w:r>
      <w:r>
        <w:rPr>
          <w:b/>
          <w:i w:val="0"/>
        </w:rPr>
        <w:t>10 % de votre rémunération totale brute</w:t>
      </w:r>
      <w:r>
        <w:rPr>
          <w:b w:val="0"/>
          <w:i w:val="0"/>
        </w:rPr>
        <w:t xml:space="preserve"> (remplace l'indemnité de précarité classique), due aussi en cas de rupture employeur aux dates anniversaires.</w:t>
      </w:r>
    </w:p>
    <w:p>
      <w:r>
        <w:rPr>
          <w:b/>
          <w:i w:val="0"/>
        </w:rPr>
        <w:t>Vos garanties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4)</w:t>
      </w:r>
    </w:p>
    <w:p>
      <w:pPr>
        <w:pStyle w:val="ListBullet"/>
      </w:pPr>
      <w:r>
        <w:rPr>
          <w:b w:val="0"/>
          <w:i w:val="0"/>
        </w:rPr>
        <w:t xml:space="preserve">Accès au plan de formation et au CIF, même après la fin du contrat ; bilan professionnel outplacement jusqu'à </w:t>
      </w:r>
      <w:r>
        <w:rPr>
          <w:b/>
          <w:i w:val="0"/>
        </w:rPr>
        <w:t>24h</w:t>
      </w:r>
      <w:r>
        <w:rPr>
          <w:b w:val="0"/>
          <w:i w:val="0"/>
        </w:rPr>
        <w:t>/</w:t>
      </w:r>
      <w:r>
        <w:rPr>
          <w:b/>
          <w:i w:val="0"/>
        </w:rPr>
        <w:t>800 € TTC</w:t>
      </w:r>
    </w:p>
    <w:p>
      <w:pPr>
        <w:pStyle w:val="ListBullet"/>
      </w:pPr>
      <w:r>
        <w:rPr>
          <w:b w:val="0"/>
          <w:i w:val="0"/>
        </w:rPr>
        <w:t xml:space="preserve">Co-investissement CPF possible par l'ICO, jusqu'à </w:t>
      </w:r>
      <w:r>
        <w:rPr>
          <w:b/>
          <w:i w:val="0"/>
        </w:rPr>
        <w:t>20h</w:t>
      </w:r>
    </w:p>
    <w:p>
      <w:pPr>
        <w:pStyle w:val="ListBullet"/>
      </w:pPr>
      <w:r>
        <w:rPr>
          <w:b/>
          <w:i w:val="0"/>
        </w:rPr>
        <w:t>Priorité d'embauche en CDI</w:t>
      </w:r>
      <w:r>
        <w:rPr>
          <w:b w:val="0"/>
          <w:i w:val="0"/>
        </w:rPr>
        <w:t xml:space="preserve"> pendant le contrat, puis priorité d'accès aux emplois CDI/CDD pendant </w:t>
      </w:r>
      <w:r>
        <w:rPr>
          <w:b/>
          <w:i w:val="0"/>
        </w:rPr>
        <w:t>12 mois</w:t>
      </w:r>
      <w:r>
        <w:rPr>
          <w:b w:val="0"/>
          <w:i w:val="0"/>
        </w:rPr>
        <w:t xml:space="preserve"> après, sur demande à la DRH</w:t>
      </w:r>
    </w:p>
    <w:p>
      <w:pPr>
        <w:pStyle w:val="ListBullet"/>
      </w:pPr>
      <w:r>
        <w:rPr>
          <w:b/>
          <w:i w:val="0"/>
        </w:rPr>
        <w:t>10h/mois</w:t>
      </w:r>
      <w:r>
        <w:rPr>
          <w:b w:val="0"/>
          <w:i w:val="0"/>
        </w:rPr>
        <w:t xml:space="preserve"> d'autorisation d'absence pendant le préavis, pour organiser la suite</w:t>
      </w:r>
    </w:p>
    <w:p>
      <w:r>
        <w:rPr>
          <w:b/>
          <w:i w:val="0"/>
        </w:rPr>
        <w:t>Dates et signataires</w:t>
      </w:r>
    </w:p>
    <w:p>
      <w:r>
        <w:rPr>
          <w:b w:val="0"/>
          <w:i w:val="0"/>
        </w:rPr>
        <w:t xml:space="preserve">Signé le </w:t>
      </w:r>
      <w:r>
        <w:rPr>
          <w:b/>
          <w:i w:val="0"/>
        </w:rPr>
        <w:t>13 août 2021</w:t>
      </w:r>
      <w:r>
        <w:rPr>
          <w:b w:val="0"/>
          <w:i w:val="0"/>
        </w:rPr>
        <w:t xml:space="preserve"> par ICO (Mario Campone, DG), CGT-FO, Sud Santé-Sociaux, CFDT, CFE-CGC — les 4 organisations ont signé.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 xml:space="preserve">Source : </w:t>
      </w:r>
      <w:r>
        <w:rPr>
          <w:b w:val="0"/>
          <w:i/>
          <w:color w:val="5B6578"/>
        </w:rPr>
        <w:t>accord-cdd-objet-defini-2021.md</w:t>
      </w:r>
      <w:r>
        <w:rPr>
          <w:b w:val="0"/>
          <w:i/>
          <w:color w:val="5B6578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