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Compte Épargne Temps (CET)</w:t>
      </w:r>
    </w:p>
    <w:p>
      <w:pPr>
        <w:pStyle w:val="Heading1"/>
      </w:pPr>
      <w:r>
        <w:rPr>
          <w:b w:val="0"/>
          <w:i w:val="0"/>
        </w:rPr>
        <w:t>Compte Épargne Temps (CET)</w:t>
      </w:r>
    </w:p>
    <w:p>
      <w:r>
        <w:rPr>
          <w:b/>
          <w:i w:val="0"/>
        </w:rPr>
        <w:t>Qui est concerné</w:t>
      </w:r>
    </w:p>
    <w:p>
      <w:r>
        <w:rPr>
          <w:b w:val="0"/>
          <w:i w:val="0"/>
        </w:rPr>
        <w:t xml:space="preserve">Tout salarié, dès </w:t>
      </w:r>
      <w:r>
        <w:rPr>
          <w:b/>
          <w:i w:val="0"/>
        </w:rPr>
        <w:t>6 mois d'ancienneté</w:t>
      </w:r>
      <w:r>
        <w:rPr>
          <w:b w:val="0"/>
          <w:i w:val="0"/>
        </w:rPr>
        <w:t xml:space="preserve">, sur la base du volontariat </w:t>
      </w:r>
      <w:r>
        <w:rPr>
          <w:b w:val="0"/>
          <w:i/>
          <w:color w:val="5B6578"/>
        </w:rPr>
        <w:t>(Art. 1-2)</w:t>
      </w:r>
      <w:r>
        <w:rPr>
          <w:b w:val="0"/>
          <w:i w:val="0"/>
        </w:rPr>
        <w:t>.</w:t>
      </w:r>
    </w:p>
    <w:p>
      <w:r>
        <w:rPr>
          <w:b/>
          <w:i w:val="0"/>
        </w:rPr>
        <w:t>À quoi sert le CET</w:t>
      </w:r>
    </w:p>
    <w:p>
      <w:pPr>
        <w:pStyle w:val="ListBullet"/>
      </w:pPr>
      <w:r>
        <w:rPr>
          <w:b w:val="0"/>
          <w:i w:val="0"/>
        </w:rPr>
        <w:t xml:space="preserve">Épargner des jours de congés/RTT non pris ou des primes, pour : financer un projet, une formation, un passage à temps partiel, ou anticiper un départ en retraite </w:t>
      </w:r>
      <w:r>
        <w:rPr>
          <w:b w:val="0"/>
          <w:i/>
          <w:color w:val="5B6578"/>
        </w:rPr>
        <w:t>(Art. 1)</w:t>
      </w:r>
    </w:p>
    <w:p>
      <w:pPr>
        <w:pStyle w:val="ListBullet"/>
      </w:pPr>
      <w:r>
        <w:rPr>
          <w:b w:val="0"/>
          <w:i w:val="0"/>
        </w:rPr>
        <w:t xml:space="preserve">Utilisable aussi pour un complément de rémunération immédiate, jusqu'à 2 000 € (ex. carence maladie, soins coûteux) </w:t>
      </w:r>
      <w:r>
        <w:rPr>
          <w:b w:val="0"/>
          <w:i/>
          <w:color w:val="5B6578"/>
        </w:rPr>
        <w:t>(Art. 5.2)</w:t>
      </w:r>
      <w:r>
        <w:rPr>
          <w:b w:val="0"/>
          <w:i w:val="0"/>
        </w:rPr>
        <w:t xml:space="preserve">, ou pour racheter des trimestres de retraite </w:t>
      </w:r>
      <w:r>
        <w:rPr>
          <w:b w:val="0"/>
          <w:i/>
          <w:color w:val="5B6578"/>
        </w:rPr>
        <w:t>(Art. 5.4)</w:t>
      </w:r>
    </w:p>
    <w:p>
      <w:pPr>
        <w:pStyle w:val="ListBullet"/>
      </w:pPr>
      <w:r>
        <w:rPr>
          <w:b w:val="0"/>
          <w:i w:val="0"/>
        </w:rPr>
        <w:t>Peut alimenter le PEE ou le PERCOL de l'ICO</w:t>
      </w:r>
    </w:p>
    <w:p>
      <w:r>
        <w:rPr>
          <w:b/>
          <w:i w:val="0"/>
        </w:rPr>
        <w:t>Alimentation et plafond</w:t>
      </w:r>
    </w:p>
    <w:p>
      <w:pPr>
        <w:pStyle w:val="ListBullet"/>
      </w:pPr>
      <w:r>
        <w:rPr>
          <w:b w:val="0"/>
          <w:i w:val="0"/>
        </w:rPr>
        <w:t xml:space="preserve">Plafond d'épargne : </w:t>
      </w:r>
      <w:r>
        <w:rPr>
          <w:b/>
          <w:i w:val="0"/>
        </w:rPr>
        <w:t>1 820 heures maximum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4.4)</w:t>
      </w:r>
    </w:p>
    <w:p>
      <w:pPr>
        <w:pStyle w:val="ListBullet"/>
      </w:pPr>
      <w:r>
        <w:rPr>
          <w:b/>
          <w:i w:val="0"/>
        </w:rPr>
        <w:t>Demande de versement : à déposer avant le 15 janvier de l'année suivante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(Art. 3.3, tel que modifié par l'avenant du 31/01/2022 — la date a été repoussée du 30 novembre au 15 janvier, pour tenir compte de l'annualisation du temps de travail, qui ne permet pas de connaître son solde avant fin novembre)</w:t>
      </w:r>
    </w:p>
    <w:p>
      <w:r>
        <w:rPr>
          <w:b/>
          <w:i w:val="0"/>
        </w:rPr>
        <w:t>Dates et signataires</w:t>
      </w:r>
    </w:p>
    <w:p>
      <w:pPr>
        <w:pStyle w:val="ListBullet"/>
      </w:pPr>
      <w:r>
        <w:rPr>
          <w:b w:val="0"/>
          <w:i w:val="0"/>
        </w:rPr>
        <w:t xml:space="preserve">Accord de base signé le </w:t>
      </w:r>
      <w:r>
        <w:rPr>
          <w:b/>
          <w:i w:val="0"/>
        </w:rPr>
        <w:t>19 mars 2021</w:t>
      </w:r>
      <w:r>
        <w:rPr>
          <w:b w:val="0"/>
          <w:i w:val="0"/>
        </w:rPr>
        <w:t xml:space="preserve"> par les 4 organisations syndicales (CGT-FO, Sud Santé-Sociaux, CFDT, CFE-CGC).</w:t>
      </w:r>
    </w:p>
    <w:p>
      <w:pPr>
        <w:pStyle w:val="ListBullet"/>
      </w:pPr>
      <w:r>
        <w:rPr>
          <w:b w:val="0"/>
          <w:i w:val="0"/>
        </w:rPr>
        <w:t xml:space="preserve">Avenant n°1 signé le </w:t>
      </w:r>
      <w:r>
        <w:rPr>
          <w:b/>
          <w:i w:val="0"/>
        </w:rPr>
        <w:t>31 janvier 2022</w:t>
      </w:r>
      <w:r>
        <w:rPr>
          <w:b w:val="0"/>
          <w:i w:val="0"/>
        </w:rPr>
        <w:t xml:space="preserve"> par ICO (Mario Campone, DG), CGT-FO (David Di Peri), CFDT (Corinne Lanio), CFE-CGC (Geneviève Perrocheau). </w:t>
      </w:r>
      <w:r>
        <w:rPr>
          <w:b/>
          <w:i w:val="0"/>
        </w:rPr>
        <w:t>Sud Santé-Sociaux n'a pas signé l'avenant.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CET (19/03/2021) et son avenant n°1 (31/01/2022).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