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203A"/>
        </w:rPr>
        <w:t>Égalité femmes-hommes</w:t>
      </w:r>
    </w:p>
    <w:p>
      <w:pPr>
        <w:pStyle w:val="Heading1"/>
      </w:pPr>
      <w:r>
        <w:rPr>
          <w:b w:val="0"/>
          <w:i w:val="0"/>
        </w:rPr>
        <w:t>Égalité professionnelle Femmes-Hommes</w:t>
      </w:r>
    </w:p>
    <w:p>
      <w:r>
        <w:rPr>
          <w:b/>
          <w:i w:val="0"/>
        </w:rPr>
        <w:t>Signé le 29 mai 2026 par l'ICO (Mario CAMPONE), CGT-FO, Sud Santé-Sociaux et CFE-CGC.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Accord à durée déterminée de 3 ans à compter de sa notification.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>Qui est concerné</w:t>
      </w:r>
    </w:p>
    <w:p>
      <w:r>
        <w:rPr>
          <w:b w:val="0"/>
          <w:i w:val="0"/>
        </w:rPr>
        <w:t>Tous les salariés de l'ICO.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Sensibilisation et formation </w:t>
      </w:r>
      <w:r>
        <w:rPr>
          <w:b w:val="0"/>
          <w:i/>
          <w:color w:val="5B6578"/>
        </w:rPr>
        <w:t>(Art. 1)</w:t>
      </w:r>
    </w:p>
    <w:p>
      <w:pPr>
        <w:pStyle w:val="ListBullet"/>
      </w:pPr>
      <w:r>
        <w:rPr>
          <w:b/>
          <w:i w:val="0"/>
        </w:rPr>
        <w:t>Égalité F/H</w:t>
      </w:r>
      <w:r>
        <w:rPr>
          <w:b w:val="0"/>
          <w:i w:val="0"/>
        </w:rPr>
        <w:t xml:space="preserve"> : formation progressive de l'ensemble des salariés (objectif : 20%/an des salariés en place, 100% des nouveaux arrivants dans les 6 mois)</w:t>
      </w:r>
    </w:p>
    <w:p>
      <w:pPr>
        <w:pStyle w:val="ListBullet"/>
      </w:pPr>
      <w:r>
        <w:rPr>
          <w:b/>
          <w:i w:val="0"/>
        </w:rPr>
        <w:t>Violences sexistes et sexuelles (VSS)</w:t>
      </w:r>
      <w:r>
        <w:rPr>
          <w:b w:val="0"/>
          <w:i w:val="0"/>
        </w:rPr>
        <w:t xml:space="preserve"> : e-learning pour 100% des salariés avant le 31 décembre 2027 ; formation présentielle d'une demi-journée à déployer à partir de janvier 2028 pour 100% des salariés, et dans les 12 mois suivant chaque arrivée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Articulation vie personnelle / vie professionnelle </w:t>
      </w:r>
      <w:r>
        <w:rPr>
          <w:b w:val="0"/>
          <w:i/>
          <w:color w:val="5B6578"/>
        </w:rPr>
        <w:t>(Art. 2)</w:t>
      </w:r>
    </w:p>
    <w:p>
      <w:pPr>
        <w:pStyle w:val="ListBullet"/>
      </w:pPr>
      <w:r>
        <w:rPr>
          <w:b/>
          <w:i w:val="0"/>
        </w:rPr>
        <w:t>Livret de parentalité</w:t>
      </w:r>
      <w:r>
        <w:rPr>
          <w:b w:val="0"/>
          <w:i w:val="0"/>
        </w:rPr>
        <w:t xml:space="preserve"> remis à 100% des salariés déclarant une naissance ou une adoption (aussi disponible sur l'intranet)</w:t>
      </w:r>
    </w:p>
    <w:p>
      <w:pPr>
        <w:pStyle w:val="ListBullet"/>
      </w:pPr>
      <w:r>
        <w:rPr>
          <w:b/>
          <w:i w:val="0"/>
        </w:rPr>
        <w:t>Entretien de ré-accueil</w:t>
      </w:r>
      <w:r>
        <w:rPr>
          <w:b w:val="0"/>
          <w:i w:val="0"/>
        </w:rPr>
        <w:t xml:space="preserve"> à la reprise après une absence longue : obligatoire et systématique dès 6 mois d'absence consécutifs (facultatif sur demande entre 4 et 6 mois) ; une </w:t>
      </w:r>
      <w:r>
        <w:rPr>
          <w:b/>
          <w:i w:val="0"/>
        </w:rPr>
        <w:t>journée de doublure</w:t>
      </w:r>
      <w:r>
        <w:rPr>
          <w:b w:val="0"/>
          <w:i w:val="0"/>
        </w:rPr>
        <w:t xml:space="preserve"> est organisée le jour de la reprise à partir de 4 mois d'absence</w:t>
      </w:r>
    </w:p>
    <w:p>
      <w:pPr>
        <w:pStyle w:val="ListBullet"/>
      </w:pPr>
      <w:r>
        <w:rPr>
          <w:b/>
          <w:i w:val="0"/>
        </w:rPr>
        <w:t>EAA</w:t>
      </w:r>
      <w:r>
        <w:rPr>
          <w:b w:val="0"/>
          <w:i w:val="0"/>
        </w:rPr>
        <w:t xml:space="preserve"> : tout salarié absent pendant la campagne est reçu à son retour pour un entretien de fixation d'objectifs</w:t>
      </w:r>
    </w:p>
    <w:p>
      <w:pPr>
        <w:pStyle w:val="ListBullet"/>
      </w:pPr>
      <w:r>
        <w:rPr>
          <w:b/>
          <w:i w:val="0"/>
        </w:rPr>
        <w:t>Absences enfants malades</w:t>
      </w:r>
      <w:r>
        <w:rPr>
          <w:b w:val="0"/>
          <w:i w:val="0"/>
        </w:rPr>
        <w:t xml:space="preserve"> : jours supplémentaires non soldés accordés si l'organisation le permet ; seuil d'invalidité pour les enfants handicapés abaissé de 80% à </w:t>
      </w:r>
      <w:r>
        <w:rPr>
          <w:b/>
          <w:i w:val="0"/>
        </w:rPr>
        <w:t>50%</w:t>
      </w:r>
      <w:r>
        <w:rPr>
          <w:b w:val="0"/>
          <w:i w:val="0"/>
        </w:rPr>
        <w:t xml:space="preserve"> ; si les 2 parents sont salariés de l'ICO, le droit est ouvert à chacun d'eux, dans la limite de </w:t>
      </w:r>
      <w:r>
        <w:rPr>
          <w:b/>
          <w:i w:val="0"/>
        </w:rPr>
        <w:t>12 jours par famille et par an</w:t>
      </w:r>
    </w:p>
    <w:p>
      <w:pPr>
        <w:pStyle w:val="ListBullet"/>
      </w:pPr>
      <w:r>
        <w:rPr>
          <w:b/>
          <w:i w:val="0"/>
        </w:rPr>
        <w:t>Congé de parentalité pour couples homoparentaux</w:t>
      </w:r>
      <w:r>
        <w:rPr>
          <w:b w:val="0"/>
          <w:i w:val="0"/>
        </w:rPr>
        <w:t xml:space="preserve"> : 25 jours calendaires rémunérés accordés au salarié en CDI dont le/la partenaire ne peut bénéficier d'un congé maternité, dans les 6 mois suivant l'arrivée de l'enfant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Recrutement </w:t>
      </w:r>
      <w:r>
        <w:rPr>
          <w:b w:val="0"/>
          <w:i/>
          <w:color w:val="5B6578"/>
        </w:rPr>
        <w:t>(Art. 3)</w:t>
      </w:r>
    </w:p>
    <w:p>
      <w:r>
        <w:rPr>
          <w:b w:val="0"/>
          <w:i w:val="0"/>
        </w:rPr>
        <w:t>Toute offre d'emploi rédigée sans stéréotype de genre ; critères de sélection strictement fondés sur les compétences ; mixité visée dans les recrutements externes et la mobilité interne.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Égalité salariale </w:t>
      </w:r>
      <w:r>
        <w:rPr>
          <w:b w:val="0"/>
          <w:i/>
          <w:color w:val="5B6578"/>
        </w:rPr>
        <w:t>(Art. 4)</w:t>
      </w:r>
    </w:p>
    <w:p>
      <w:pPr>
        <w:pStyle w:val="ListBullet"/>
      </w:pPr>
      <w:r>
        <w:rPr>
          <w:b w:val="0"/>
          <w:i w:val="0"/>
        </w:rPr>
        <w:t xml:space="preserve">Maintien de salaire à </w:t>
      </w:r>
      <w:r>
        <w:rPr>
          <w:b/>
          <w:i w:val="0"/>
        </w:rPr>
        <w:t>100% pendant le congé maternité et le congé paternité</w:t>
      </w:r>
      <w:r>
        <w:rPr>
          <w:b w:val="0"/>
          <w:i w:val="0"/>
        </w:rPr>
        <w:t xml:space="preserve"> dès </w:t>
      </w:r>
      <w:r>
        <w:rPr>
          <w:b/>
          <w:i w:val="0"/>
        </w:rPr>
        <w:t>3 mois d'ancienneté</w:t>
      </w:r>
      <w:r>
        <w:rPr>
          <w:b w:val="0"/>
          <w:i w:val="0"/>
        </w:rPr>
        <w:t xml:space="preserve"> (au lieu de 9 mois CCN)</w:t>
      </w:r>
    </w:p>
    <w:p>
      <w:pPr>
        <w:pStyle w:val="ListBullet"/>
      </w:pPr>
      <w:r>
        <w:rPr>
          <w:b w:val="0"/>
          <w:i w:val="0"/>
        </w:rPr>
        <w:t xml:space="preserve">Les salariées en congé maternité se voient attribuer le </w:t>
      </w:r>
      <w:r>
        <w:rPr>
          <w:b/>
          <w:i w:val="0"/>
        </w:rPr>
        <w:t>montant moyen de la BIC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Conditions de travail </w:t>
      </w:r>
      <w:r>
        <w:rPr>
          <w:b w:val="0"/>
          <w:i/>
          <w:color w:val="5B6578"/>
        </w:rPr>
        <w:t>(Art. 7)</w:t>
      </w:r>
    </w:p>
    <w:p>
      <w:pPr>
        <w:pStyle w:val="ListBullet"/>
      </w:pPr>
      <w:r>
        <w:rPr>
          <w:b/>
          <w:i w:val="0"/>
        </w:rPr>
        <w:t>Heures de grossesse</w:t>
      </w:r>
      <w:r>
        <w:rPr>
          <w:b w:val="0"/>
          <w:i w:val="0"/>
        </w:rPr>
        <w:t xml:space="preserve"> : 1h de réduction par jour à partir du 3e mois de grossesse, avec 3 modalités possibles selon le service (par heure quotidienne, en journées cumulées, ou en journées anticipées)</w:t>
      </w:r>
    </w:p>
    <w:p>
      <w:pPr>
        <w:pStyle w:val="ListBullet"/>
      </w:pPr>
      <w:r>
        <w:rPr>
          <w:b/>
          <w:i w:val="0"/>
        </w:rPr>
        <w:t>Allaitement</w:t>
      </w:r>
      <w:r>
        <w:rPr>
          <w:b w:val="0"/>
          <w:i w:val="0"/>
        </w:rPr>
        <w:t xml:space="preserve"> : lieu dédié mis à disposition ; absence au poste organisée par le responsable de service</w:t>
      </w:r>
    </w:p>
    <w:p>
      <w:pPr>
        <w:pStyle w:val="ListBullet"/>
      </w:pPr>
      <w:r>
        <w:rPr>
          <w:b/>
          <w:i w:val="0"/>
        </w:rPr>
        <w:t>Temps partiel</w:t>
      </w:r>
      <w:r>
        <w:rPr>
          <w:b w:val="0"/>
          <w:i w:val="0"/>
        </w:rPr>
        <w:t xml:space="preserve"> : égalité d'accès entre femmes et hommes, suivi annuel</w:t>
      </w:r>
    </w:p>
    <w:p>
      <w:pPr>
        <w:pStyle w:val="ListBullet"/>
      </w:pPr>
      <w:r>
        <w:rPr>
          <w:b/>
          <w:i w:val="0"/>
        </w:rPr>
        <w:t>Congé de parentalité homoparental</w:t>
      </w:r>
      <w:r>
        <w:rPr>
          <w:b w:val="0"/>
          <w:i w:val="0"/>
        </w:rPr>
        <w:t xml:space="preserve"> : voir ci-dessus (Art. 2)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Lutte contre les violences domestiques </w:t>
      </w:r>
      <w:r>
        <w:rPr>
          <w:b w:val="0"/>
          <w:i/>
          <w:color w:val="5B6578"/>
        </w:rPr>
        <w:t>(Art. 8)</w:t>
      </w:r>
    </w:p>
    <w:p>
      <w:pPr>
        <w:pStyle w:val="ListBullet"/>
      </w:pPr>
      <w:r>
        <w:rPr>
          <w:b/>
          <w:i w:val="0"/>
        </w:rPr>
        <w:t>6 référents</w:t>
      </w:r>
      <w:r>
        <w:rPr>
          <w:b w:val="0"/>
          <w:i w:val="0"/>
        </w:rPr>
        <w:t xml:space="preserve"> désignés parmi les élus CSE Central (3 par site), formés avant fin 2026, astreints à la confidentialité</w:t>
      </w:r>
    </w:p>
    <w:p>
      <w:pPr>
        <w:pStyle w:val="ListBullet"/>
      </w:pPr>
      <w:r>
        <w:rPr>
          <w:b/>
          <w:i w:val="0"/>
        </w:rPr>
        <w:t>Réseau partenaires</w:t>
      </w:r>
      <w:r>
        <w:rPr>
          <w:b w:val="0"/>
          <w:i w:val="0"/>
        </w:rPr>
        <w:t xml:space="preserve"> (assistance sociale, logement, juridique) constitué avant fin 2026</w:t>
      </w:r>
    </w:p>
    <w:p>
      <w:pPr>
        <w:pStyle w:val="ListBullet"/>
      </w:pPr>
      <w:r>
        <w:rPr>
          <w:b/>
          <w:i w:val="0"/>
        </w:rPr>
        <w:t>Temps d'audition</w:t>
      </w:r>
      <w:r>
        <w:rPr>
          <w:b w:val="0"/>
          <w:i w:val="0"/>
        </w:rPr>
        <w:t xml:space="preserve"> convoqué par les forces de l'ordre pendant le temps de travail : compté comme temps de travail effectif</w:t>
      </w:r>
    </w:p>
    <w:p>
      <w:pPr>
        <w:pStyle w:val="ListBullet"/>
      </w:pPr>
      <w:r>
        <w:rPr>
          <w:b w:val="0"/>
          <w:i w:val="0"/>
        </w:rPr>
        <w:t>Formation de l'ensemble des managers à la détection des violences domestiques d'ici fin 2028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r>
        <w:rPr>
          <w:b w:val="0"/>
          <w:i/>
          <w:color w:val="5B6578"/>
        </w:rPr>
        <w:t>Source : Accord égalité professionnelle F/H (29/05/2026), signé CGT-FO, Sud Santé-Sociaux, CFE-CGC.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