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Intéressement</w:t>
      </w:r>
    </w:p>
    <w:p>
      <w:pPr>
        <w:pStyle w:val="Heading1"/>
      </w:pPr>
      <w:r>
        <w:rPr>
          <w:b w:val="0"/>
          <w:i w:val="0"/>
        </w:rPr>
        <w:t>Intéressement 2026</w:t>
      </w:r>
    </w:p>
    <w:p>
      <w:r>
        <w:rPr>
          <w:b/>
          <w:i w:val="0"/>
        </w:rPr>
        <w:t>Signé le 29 mai 2026 par l'ICO (Mario CAMPONE) et CGT-FO et CFE-CGC. Sud Santé-Sociaux n'a pas signé.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Accord à durée déterminée couvrant les exercices 2026, 2027 et 2028. Versement au plus tard le 31 mai de l'année suivante.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2)</w:t>
      </w:r>
    </w:p>
    <w:p>
      <w:r>
        <w:rPr>
          <w:b w:val="0"/>
          <w:i w:val="0"/>
        </w:rPr>
        <w:t xml:space="preserve">Tous les salariés de l'ICO (médicaux et non médicaux, cadres dirigeants, CDD, temps partiel), avec </w:t>
      </w:r>
      <w:r>
        <w:rPr>
          <w:b/>
          <w:i w:val="0"/>
        </w:rPr>
        <w:t>3 mois d'ancienneté minimum</w:t>
      </w:r>
      <w:r>
        <w:rPr>
          <w:b w:val="0"/>
          <w:i w:val="0"/>
        </w:rPr>
        <w:t xml:space="preserve"> au cours de l'exercice concerné. L'intéressement ne peut pas être refusé.</w:t>
      </w:r>
    </w:p>
    <w:p>
      <w:r>
        <w:rPr>
          <w:b w:val="0"/>
          <w:i w:val="0"/>
        </w:rPr>
        <w:t>Pour les entrées/sorties en cours d'année : proraté au nombre de mois complets de présence.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Comment est calculé l'intéressement </w:t>
      </w:r>
      <w:r>
        <w:rPr>
          <w:b w:val="0"/>
          <w:i/>
          <w:color w:val="5B6578"/>
        </w:rPr>
        <w:t>(Art. 3-4)</w:t>
      </w:r>
    </w:p>
    <w:p>
      <w:r>
        <w:rPr>
          <w:b w:val="0"/>
          <w:i w:val="0"/>
        </w:rPr>
        <w:t xml:space="preserve">L'intéressement résulte de l'addition de </w:t>
      </w:r>
      <w:r>
        <w:rPr>
          <w:b/>
          <w:i w:val="0"/>
        </w:rPr>
        <w:t>3 critères indépendants</w:t>
      </w:r>
      <w:r>
        <w:rPr>
          <w:b w:val="0"/>
          <w:i w:val="0"/>
        </w:rPr>
        <w:t>, sous réserve d'un résultat comptable positif.</w:t>
      </w:r>
    </w:p>
    <w:p>
      <w:pPr>
        <w:pStyle w:val="Heading3"/>
      </w:pPr>
      <w:r>
        <w:rPr>
          <w:b w:val="0"/>
          <w:i w:val="0"/>
        </w:rPr>
        <w:t xml:space="preserve">Critère 1 — Satisfaction des patients </w:t>
      </w:r>
      <w:r>
        <w:rPr>
          <w:b w:val="0"/>
          <w:i/>
          <w:color w:val="5B6578"/>
        </w:rPr>
        <w:t>(E-Satis)</w:t>
      </w:r>
    </w:p>
    <w:p>
      <w:r>
        <w:rPr>
          <w:b w:val="0"/>
          <w:i w:val="0"/>
        </w:rPr>
        <w:t>Basé sur les scores HAS (enquêtes E-Satis +48h et E-Satis Chirurgie Ambulatoire) 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Classe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Score +48h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Score Chir. Amb.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Prime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D (insuffisant)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&lt; 70,7%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&lt; 73,1%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0 €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C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70,7% à 74%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73,1% à 76,5%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50 000 €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B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74% à 77,3%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76,5% à 79,7%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75 000 €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A (excellent)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&gt; 77,3%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&gt; 79,7%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100 000 €</w:t>
            </w:r>
          </w:p>
        </w:tc>
      </w:tr>
    </w:tbl>
    <w:p/>
    <w:p>
      <w:r>
        <w:rPr>
          <w:b/>
          <w:i w:val="0"/>
        </w:rPr>
        <w:t>SG = E-Satis +48h + E-Satis Chirurgie Ambulatoire</w:t>
      </w:r>
      <w:r>
        <w:rPr>
          <w:b w:val="0"/>
          <w:i w:val="0"/>
        </w:rPr>
        <w:t xml:space="preserve"> (max 200 000 €)</w:t>
      </w:r>
    </w:p>
    <w:p>
      <w:pPr>
        <w:pStyle w:val="Heading3"/>
      </w:pPr>
      <w:r>
        <w:rPr>
          <w:b w:val="0"/>
          <w:i w:val="0"/>
        </w:rPr>
        <w:t xml:space="preserve">Critère 2 — Développement de l'activité en volume </w:t>
      </w:r>
      <w:r>
        <w:rPr>
          <w:b w:val="0"/>
          <w:i/>
          <w:color w:val="5B6578"/>
        </w:rPr>
        <w:t>(vs N-1)</w:t>
      </w:r>
    </w:p>
    <w:p>
      <w:r>
        <w:rPr>
          <w:b w:val="0"/>
          <w:i w:val="0"/>
        </w:rPr>
        <w:t>Basé sur l'évolution de l'activité (scanner, IRM, TEP, scintigraphie, chirurgie, radiothérapie, chimiothérapie) 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Évolution activité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Prime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&lt; 0%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0 €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0% à 1%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100 000 €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1% à 2%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200 000 €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2% à 4%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300 000 €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4% à 5%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400 000 €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&gt; 5%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500 000 €</w:t>
            </w:r>
          </w:p>
        </w:tc>
      </w:tr>
    </w:tbl>
    <w:p/>
    <w:p>
      <w:pPr>
        <w:pStyle w:val="Heading3"/>
      </w:pPr>
      <w:r>
        <w:rPr>
          <w:b w:val="0"/>
          <w:i w:val="0"/>
        </w:rPr>
        <w:t>Critère 3 — Capacité d'autofinancement (CAF)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CAF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Prime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&lt; 11 M€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0 €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11 à 12 M€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3% de la CAF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12 à 15 M€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4% de la CAF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15 à 17 M€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5% de la CAF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&gt; 17 M€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6% de la CAF, plafonné à 1 320 000 €</w:t>
            </w:r>
          </w:p>
        </w:tc>
      </w:tr>
    </w:tbl>
    <w:p/>
    <w:p>
      <w:r>
        <w:rPr>
          <w:b/>
          <w:i w:val="0"/>
        </w:rPr>
        <w:t>Formule finale : I = SG + AV + CAF</w:t>
      </w:r>
      <w:r>
        <w:rPr>
          <w:b w:val="0"/>
          <w:i w:val="0"/>
        </w:rPr>
        <w:t>, ajusté au résultat comptable (aucun versement si déficitaire).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Répartition entre salariés </w:t>
      </w:r>
      <w:r>
        <w:rPr>
          <w:b w:val="0"/>
          <w:i/>
          <w:color w:val="5B6578"/>
        </w:rPr>
        <w:t>(Art. 5)</w:t>
      </w:r>
    </w:p>
    <w:p>
      <w:pPr>
        <w:pStyle w:val="ListBullet"/>
      </w:pPr>
      <w:r>
        <w:rPr>
          <w:b/>
          <w:i w:val="0"/>
        </w:rPr>
        <w:t>Moitié de la prime</w:t>
      </w:r>
      <w:r>
        <w:rPr>
          <w:b w:val="0"/>
          <w:i w:val="0"/>
        </w:rPr>
        <w:t xml:space="preserve"> : répartie </w:t>
      </w:r>
      <w:r>
        <w:rPr>
          <w:b/>
          <w:i w:val="0"/>
        </w:rPr>
        <w:t>uniformément</w:t>
      </w:r>
      <w:r>
        <w:rPr>
          <w:b w:val="0"/>
          <w:i w:val="0"/>
        </w:rPr>
        <w:t xml:space="preserve"> entre tous les bénéficiaires (au prorata de la présence et du temps de travail pour les temps partiels et les entrées/sorties en cours d'année)</w:t>
      </w:r>
    </w:p>
    <w:p>
      <w:pPr>
        <w:pStyle w:val="ListBullet"/>
      </w:pPr>
      <w:r>
        <w:rPr>
          <w:b/>
          <w:i w:val="0"/>
        </w:rPr>
        <w:t>Autre moitié</w:t>
      </w:r>
      <w:r>
        <w:rPr>
          <w:b w:val="0"/>
          <w:i w:val="0"/>
        </w:rPr>
        <w:t xml:space="preserve"> : répartie </w:t>
      </w:r>
      <w:r>
        <w:rPr>
          <w:b/>
          <w:i w:val="0"/>
        </w:rPr>
        <w:t>au prorata des heures de travail effectif</w:t>
      </w:r>
      <w:r>
        <w:rPr>
          <w:b w:val="0"/>
          <w:i w:val="0"/>
        </w:rPr>
        <w:t xml:space="preserve"> ou assimilé (CP, jours fériés, RTT, formations, congés maternité/paternité, AT/MP, heures de délégation, jours de grève — mais pas les maladies ordinaires ni les absences non rémunérées)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Que faire de votre prime </w:t>
      </w:r>
      <w:r>
        <w:rPr>
          <w:b w:val="0"/>
          <w:i/>
          <w:color w:val="5B6578"/>
        </w:rPr>
        <w:t>(Art. 7)</w:t>
      </w:r>
    </w:p>
    <w:p>
      <w:r>
        <w:rPr>
          <w:b w:val="0"/>
          <w:i w:val="0"/>
        </w:rPr>
        <w:t xml:space="preserve">Dans les </w:t>
      </w:r>
      <w:r>
        <w:rPr>
          <w:b/>
          <w:i w:val="0"/>
        </w:rPr>
        <w:t>15 jours</w:t>
      </w:r>
      <w:r>
        <w:rPr>
          <w:b w:val="0"/>
          <w:i w:val="0"/>
        </w:rPr>
        <w:t xml:space="preserve"> après réception de votre fiche (au plus tard le 15 mai N+1), vous choisissez entre :</w:t>
      </w:r>
      <w:r>
        <w:rPr>
          <w:b w:val="0"/>
          <w:i w:val="0"/>
        </w:rPr>
        <w:t xml:space="preserve"> - </w:t>
      </w:r>
      <w:r>
        <w:rPr>
          <w:b/>
          <w:i w:val="0"/>
        </w:rPr>
        <w:t>Paiement direct</w:t>
      </w:r>
      <w:r>
        <w:rPr>
          <w:b w:val="0"/>
          <w:i w:val="0"/>
        </w:rPr>
        <w:t xml:space="preserve"> (imposable à l'IR, mais exonéré de cotisations sociales sauf CSG/CRDS)</w:t>
      </w:r>
      <w:r>
        <w:rPr>
          <w:b w:val="0"/>
          <w:i w:val="0"/>
        </w:rPr>
        <w:t xml:space="preserve"> - </w:t>
      </w:r>
      <w:r>
        <w:rPr>
          <w:b/>
          <w:i w:val="0"/>
        </w:rPr>
        <w:t>Affectation sur le PEE</w:t>
      </w:r>
      <w:r>
        <w:rPr>
          <w:b w:val="0"/>
          <w:i w:val="0"/>
        </w:rPr>
        <w:t xml:space="preserve"> (exonération d'IR, bloqué 5 ans sauf cas de déblocage anticipé)</w:t>
      </w:r>
      <w:r>
        <w:rPr>
          <w:b w:val="0"/>
          <w:i w:val="0"/>
        </w:rPr>
        <w:t xml:space="preserve"> - </w:t>
      </w:r>
      <w:r>
        <w:rPr>
          <w:b/>
          <w:i w:val="0"/>
        </w:rPr>
        <w:t>Affectation sur le PERCOL</w:t>
      </w:r>
      <w:r>
        <w:rPr>
          <w:b w:val="0"/>
          <w:i w:val="0"/>
        </w:rPr>
        <w:t xml:space="preserve"> - </w:t>
      </w:r>
      <w:r>
        <w:rPr>
          <w:b/>
          <w:i w:val="0"/>
        </w:rPr>
        <w:t>Sans réponse</w:t>
      </w:r>
      <w:r>
        <w:rPr>
          <w:b w:val="0"/>
          <w:i w:val="0"/>
        </w:rPr>
        <w:t xml:space="preserve"> : versement automatique sur le fonds le moins risqué du PEE</w:t>
      </w:r>
    </w:p>
    <w:p>
      <w:r>
        <w:rPr>
          <w:b w:val="0"/>
          <w:i w:val="0"/>
        </w:rPr>
        <w:t>Un abondement de l'ICO sur le PEE peut être décidé lors de la NAO, dans la limite du triple de votre versement et de 8% du plafond annuel SS.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d'intéressement (29/05/2026), signé CGT-FO, CFE-CGC. Couvre les exercices 2026, 2027 et 2028.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