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Parcours professionnel — Physiciens médicaux</w:t>
      </w:r>
    </w:p>
    <w:p>
      <w:pPr>
        <w:pStyle w:val="Heading1"/>
      </w:pPr>
      <w:r>
        <w:rPr>
          <w:b w:val="0"/>
          <w:i w:val="0"/>
        </w:rPr>
        <w:t>Parcours professionnel des Physiciens médicaux</w:t>
      </w:r>
    </w:p>
    <w:p>
      <w:r>
        <w:rPr>
          <w:b/>
          <w:i w:val="0"/>
        </w:rPr>
        <w:t>Signé le 19 mai 2022 par l'ICO (Pr Mario CAMPONE), CGT-FO, Sud Santé-Sociaux, CFDT et CFE-CGC.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En vigueur depuis le 1er juillet 2022, durée indéterminée. Remplace la décision unilatérale de l'employeur qui fixait les mêmes règles sans cadre juridique formalisé.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>Qui est concerné</w:t>
      </w:r>
    </w:p>
    <w:p>
      <w:r>
        <w:rPr>
          <w:b w:val="0"/>
          <w:i w:val="0"/>
        </w:rPr>
        <w:t xml:space="preserve">Les </w:t>
      </w:r>
      <w:r>
        <w:rPr>
          <w:b/>
          <w:i w:val="0"/>
        </w:rPr>
        <w:t>physiciens médicaux</w:t>
      </w:r>
      <w:r>
        <w:rPr>
          <w:b w:val="0"/>
          <w:i w:val="0"/>
        </w:rPr>
        <w:t xml:space="preserve"> de l'ICO, en CDI.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Votre parcours de classification </w:t>
      </w:r>
      <w:r>
        <w:rPr>
          <w:b w:val="0"/>
          <w:i/>
          <w:color w:val="5B6578"/>
        </w:rPr>
        <w:t>(Art. 1)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b/>
              </w:rPr>
              <w:t>Situation</w:t>
            </w:r>
          </w:p>
        </w:tc>
        <w:tc>
          <w:tcPr>
            <w:tcW w:type="dxa" w:w="4320"/>
          </w:tcPr>
          <w:p>
            <w:r/>
            <w:r>
              <w:rPr>
                <w:b/>
              </w:rPr>
              <w:t>Classification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À l'embauche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Cadre supérieur 1, Groupe 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Après 8 ans d'ancienneté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Cadre supérieur 2, Groupe 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b w:val="0"/>
              </w:rPr>
              <w:t>Après 18 ans d'ancienneté</w:t>
            </w:r>
          </w:p>
        </w:tc>
        <w:tc>
          <w:tcPr>
            <w:tcW w:type="dxa" w:w="4320"/>
          </w:tcPr>
          <w:p>
            <w:r/>
            <w:r>
              <w:rPr>
                <w:b w:val="0"/>
              </w:rPr>
              <w:t>Cadre supérieur 3, Groupe N</w:t>
            </w:r>
          </w:p>
        </w:tc>
      </w:tr>
    </w:tbl>
    <w:p/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Point essentiel : comment se calcule l'ancienneté </w:t>
      </w:r>
      <w:r>
        <w:rPr>
          <w:b w:val="0"/>
          <w:i/>
          <w:color w:val="5B6578"/>
        </w:rPr>
        <w:t>(Art. 2)</w:t>
      </w:r>
    </w:p>
    <w:p>
      <w:r>
        <w:rPr>
          <w:b w:val="0"/>
          <w:i w:val="0"/>
        </w:rPr>
        <w:t xml:space="preserve">L'ancienneté pour ces paliers </w:t>
      </w:r>
      <w:r>
        <w:rPr>
          <w:b/>
          <w:i w:val="0"/>
        </w:rPr>
        <w:t>ne part pas de votre date d'embauche à l'ICO</w:t>
      </w:r>
      <w:r>
        <w:rPr>
          <w:b w:val="0"/>
          <w:i w:val="0"/>
        </w:rPr>
        <w:t xml:space="preserve">, mais de la </w:t>
      </w:r>
      <w:r>
        <w:rPr>
          <w:b/>
          <w:i w:val="0"/>
        </w:rPr>
        <w:t>date de reprise de votre expérience professionnelle</w:t>
      </w:r>
      <w:r>
        <w:rPr>
          <w:b w:val="0"/>
          <w:i w:val="0"/>
        </w:rPr>
        <w:t xml:space="preserve"> telle qu'elle vous a été accordée à l'embauche.</w:t>
      </w:r>
    </w:p>
    <w:p>
      <w:r>
        <w:rPr>
          <w:b w:val="0"/>
          <w:i w:val="0"/>
        </w:rPr>
        <w:t>Concrètement : si vous avez travaillé 8 ans avant d'entrer à l'ICO et que cette expérience vous a été intégralement reprise, vous pouvez être directement classé CS2 à l'embauche et atteindre CS3 bien avant vos 18 ans de présence à l'ICO.</w:t>
      </w:r>
    </w:p>
    <w:p>
      <w:r>
        <w:rPr>
          <w:b/>
          <w:i w:val="0"/>
        </w:rPr>
        <w:t>Ne comptent pas</w:t>
      </w:r>
      <w:r>
        <w:rPr>
          <w:b w:val="0"/>
          <w:i w:val="0"/>
        </w:rPr>
        <w:t xml:space="preserve"> dans le calcul les périodes non assimilées à du temps de travail effectif : congé parental, congé sabbatique, longue maladie.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Accord parcours Physiciens médicaux (19/05/2022), signé CGT-FO, Sud Santé-Sociaux, CFDT, CFE-CGC.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