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PERCOL (épargne retraite collective)</w:t>
      </w:r>
    </w:p>
    <w:p>
      <w:pPr>
        <w:pStyle w:val="Heading1"/>
      </w:pPr>
      <w:r>
        <w:rPr>
          <w:b w:val="0"/>
          <w:i w:val="0"/>
        </w:rPr>
        <w:t>Plan d'Épargne Retraite Collectif (PERCOL)</w:t>
      </w:r>
    </w:p>
    <w:p>
      <w:r>
        <w:rPr>
          <w:b/>
          <w:i w:val="0"/>
        </w:rPr>
        <w:t>Le contexte en bref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(Préambule)</w:t>
      </w:r>
    </w:p>
    <w:p>
      <w:r>
        <w:rPr>
          <w:b w:val="0"/>
          <w:i w:val="0"/>
        </w:rPr>
        <w:t>Un plan d'épargne retraite d'entreprise, régi par le Code monétaire et financier, ouvert à tous les salariés.</w:t>
      </w:r>
    </w:p>
    <w:p>
      <w:r>
        <w:rPr>
          <w:b/>
          <w:i w:val="0"/>
        </w:rPr>
        <w:t>Qui peut y adhérer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1)</w:t>
      </w:r>
    </w:p>
    <w:p>
      <w:r>
        <w:rPr>
          <w:b w:val="0"/>
          <w:i w:val="0"/>
        </w:rPr>
        <w:t xml:space="preserve">Vous, dès </w:t>
      </w:r>
      <w:r>
        <w:rPr>
          <w:b/>
          <w:i w:val="0"/>
        </w:rPr>
        <w:t>3 mois d'ancienneté</w:t>
      </w:r>
      <w:r>
        <w:rPr>
          <w:b w:val="0"/>
          <w:i w:val="0"/>
        </w:rPr>
        <w:t xml:space="preserve"> (les stages rémunérés de plus de 2 mois comptent dans ce délai s'ils débouchent sur une embauche). Si vous quittez l'ICO, vous pouvez continuer à verser, sans abondement, tant que vous n'avez pas accès à un autre PERCOL chez votre nouvel employeur.</w:t>
      </w:r>
    </w:p>
    <w:p>
      <w:r>
        <w:rPr>
          <w:b/>
          <w:i w:val="0"/>
        </w:rPr>
        <w:t>Comment l'alimenter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2)</w:t>
      </w:r>
    </w:p>
    <w:p>
      <w:pPr>
        <w:pStyle w:val="ListBullet"/>
      </w:pPr>
      <w:r>
        <w:rPr>
          <w:b w:val="0"/>
          <w:i w:val="0"/>
        </w:rPr>
        <w:t>Vos versements volontaires (déductibles de votre revenu imposable, sauf si vous y renoncez expressément)</w:t>
      </w:r>
    </w:p>
    <w:p>
      <w:pPr>
        <w:pStyle w:val="ListBullet"/>
      </w:pPr>
      <w:r>
        <w:rPr>
          <w:b w:val="0"/>
          <w:i w:val="0"/>
        </w:rPr>
        <w:t>Les sommes issues de l'</w:t>
      </w:r>
      <w:r>
        <w:rPr>
          <w:b/>
          <w:i w:val="0"/>
        </w:rPr>
        <w:t>intéressement</w:t>
      </w:r>
    </w:p>
    <w:p>
      <w:pPr>
        <w:pStyle w:val="ListBullet"/>
      </w:pPr>
      <w:r>
        <w:rPr>
          <w:b w:val="0"/>
          <w:i w:val="0"/>
        </w:rPr>
        <w:t xml:space="preserve">Vos droits du </w:t>
      </w:r>
      <w:r>
        <w:rPr>
          <w:b/>
          <w:i w:val="0"/>
        </w:rPr>
        <w:t>CET, dans la limite de 10 jours/an</w:t>
      </w:r>
    </w:p>
    <w:p>
      <w:pPr>
        <w:pStyle w:val="ListBullet"/>
      </w:pPr>
      <w:r>
        <w:rPr>
          <w:b/>
          <w:i w:val="0"/>
        </w:rPr>
        <w:t>L'abondement de l'ICO</w:t>
      </w:r>
      <w:r>
        <w:rPr>
          <w:b w:val="0"/>
          <w:i w:val="0"/>
        </w:rPr>
        <w:t xml:space="preserve"> : </w:t>
      </w:r>
      <w:r>
        <w:rPr>
          <w:b/>
          <w:i w:val="0"/>
        </w:rPr>
        <w:t>15 % des montants que vous transférez depuis le CET</w:t>
      </w:r>
      <w:r>
        <w:rPr>
          <w:b w:val="0"/>
          <w:i w:val="0"/>
        </w:rPr>
        <w:t xml:space="preserve"> — plafonné au triple de vos versements et au plafond légal en vigueur (16 % du PASS, soit 6 581,76 € en 2020)</w:t>
      </w:r>
    </w:p>
    <w:p>
      <w:pPr>
        <w:pStyle w:val="ListBullet"/>
      </w:pPr>
      <w:r>
        <w:rPr>
          <w:b w:val="0"/>
          <w:i w:val="0"/>
        </w:rPr>
        <w:t>Des transferts depuis d'autres plans d'épargne retraite</w:t>
      </w:r>
    </w:p>
    <w:p>
      <w:r>
        <w:rPr>
          <w:b/>
          <w:i w:val="0"/>
        </w:rPr>
        <w:t>Comment votre épargne est gérée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3)</w:t>
      </w:r>
    </w:p>
    <w:p>
      <w:r>
        <w:rPr>
          <w:b w:val="0"/>
          <w:i w:val="0"/>
        </w:rPr>
        <w:t xml:space="preserve">Par défaut, vous êtes en </w:t>
      </w:r>
      <w:r>
        <w:rPr>
          <w:b/>
          <w:i w:val="0"/>
        </w:rPr>
        <w:t>gestion pilotée</w:t>
      </w:r>
      <w:r>
        <w:rPr>
          <w:b w:val="0"/>
          <w:i w:val="0"/>
        </w:rPr>
        <w:t xml:space="preserve"> (profil "équilibré horizon retraite", qui réduit progressivement le risque à l'approche de votre retraite) si vous ne faites pas de choix explicite. Vous pouvez changer de mode de gestion à tout moment.</w:t>
      </w:r>
    </w:p>
    <w:p>
      <w:r>
        <w:rPr>
          <w:b/>
          <w:i w:val="0"/>
        </w:rPr>
        <w:t>Quand récupérer votre épargne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5)</w:t>
      </w:r>
    </w:p>
    <w:p>
      <w:pPr>
        <w:pStyle w:val="ListBullet"/>
      </w:pPr>
      <w:r>
        <w:rPr>
          <w:b/>
          <w:i w:val="0"/>
        </w:rPr>
        <w:t>À l'échéance normale</w:t>
      </w:r>
      <w:r>
        <w:rPr>
          <w:b w:val="0"/>
          <w:i w:val="0"/>
        </w:rPr>
        <w:t xml:space="preserve"> : à votre départ à la retraite (liquidation de la pension), avec une possibilité de sortie en rente viagère via un contrat BPCE Vie</w:t>
      </w:r>
    </w:p>
    <w:p>
      <w:pPr>
        <w:pStyle w:val="ListBullet"/>
      </w:pPr>
      <w:r>
        <w:rPr>
          <w:b/>
          <w:i w:val="0"/>
        </w:rPr>
        <w:t>Un déblocage anticipé reste possible</w:t>
      </w:r>
      <w:r>
        <w:rPr>
          <w:b w:val="0"/>
          <w:i w:val="0"/>
        </w:rPr>
        <w:t xml:space="preserve"> (versement unique), si : décès de votre conjoint/partenaire de PACS, invalidité (la vôtre, celle de vos enfants, de votre conjoint/partenaire), surendettement, fin de droits au chômage, cessation d'activité non salariée suite à liquidation judiciaire, </w:t>
      </w:r>
      <w:r>
        <w:rPr>
          <w:b/>
          <w:i w:val="0"/>
        </w:rPr>
        <w:t>achat de votre résidence principale</w:t>
      </w:r>
      <w:r>
        <w:rPr>
          <w:b w:val="0"/>
          <w:i w:val="0"/>
        </w:rPr>
        <w:t xml:space="preserve"> (demande à faire dans les 6 mois suivant l'événement pour ce dernier motif)</w:t>
      </w:r>
    </w:p>
    <w:p>
      <w:pPr>
        <w:pStyle w:val="ListBullet"/>
      </w:pPr>
      <w:r>
        <w:rPr>
          <w:b w:val="0"/>
          <w:i w:val="0"/>
        </w:rPr>
        <w:t>Votre décès avant l'échéance entraîne la clôture du Plan</w:t>
      </w:r>
    </w:p>
    <w:p>
      <w:r>
        <w:rPr>
          <w:b/>
          <w:i w:val="0"/>
        </w:rPr>
        <w:t>Dates et signataires</w:t>
      </w:r>
    </w:p>
    <w:p>
      <w:pPr>
        <w:pStyle w:val="ListBullet"/>
      </w:pPr>
      <w:r>
        <w:rPr>
          <w:b w:val="0"/>
          <w:i w:val="0"/>
        </w:rPr>
        <w:t xml:space="preserve">Signé le </w:t>
      </w:r>
      <w:r>
        <w:rPr>
          <w:b/>
          <w:i w:val="0"/>
        </w:rPr>
        <w:t>19 mars 2021</w:t>
      </w:r>
      <w:r>
        <w:rPr>
          <w:b w:val="0"/>
          <w:i w:val="0"/>
        </w:rPr>
        <w:t>, durée indéterminée, prend effet à compter du dépôt.</w:t>
      </w:r>
    </w:p>
    <w:p>
      <w:pPr>
        <w:pStyle w:val="ListBullet"/>
      </w:pPr>
      <w:r>
        <w:rPr>
          <w:b w:val="0"/>
          <w:i w:val="0"/>
        </w:rPr>
        <w:t xml:space="preserve">Signé par : ICO (Mario Campone, DG), </w:t>
      </w:r>
      <w:r>
        <w:rPr>
          <w:b/>
          <w:i w:val="0"/>
        </w:rPr>
        <w:t>CGT-FO</w:t>
      </w:r>
      <w:r>
        <w:rPr>
          <w:b w:val="0"/>
          <w:i w:val="0"/>
        </w:rPr>
        <w:t xml:space="preserve"> (David Di Peri), </w:t>
      </w:r>
      <w:r>
        <w:rPr>
          <w:b/>
          <w:i w:val="0"/>
        </w:rPr>
        <w:t>Sud Santé-Sociaux</w:t>
      </w:r>
      <w:r>
        <w:rPr>
          <w:b w:val="0"/>
          <w:i w:val="0"/>
        </w:rPr>
        <w:t xml:space="preserve"> (Isabelle Fouillet), </w:t>
      </w:r>
      <w:r>
        <w:rPr>
          <w:b/>
          <w:i w:val="0"/>
        </w:rPr>
        <w:t>CFDT</w:t>
      </w:r>
      <w:r>
        <w:rPr>
          <w:b w:val="0"/>
          <w:i w:val="0"/>
        </w:rPr>
        <w:t xml:space="preserve"> (Corinne Lanio), </w:t>
      </w:r>
      <w:r>
        <w:rPr>
          <w:b/>
          <w:i w:val="0"/>
        </w:rPr>
        <w:t>CFE-CGC</w:t>
      </w:r>
      <w:r>
        <w:rPr>
          <w:b w:val="0"/>
          <w:i w:val="0"/>
        </w:rPr>
        <w:t xml:space="preserve"> (Geneviève Perrocheau) — les 4 organisations ont signé.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 xml:space="preserve">Source : </w:t>
      </w:r>
      <w:r>
        <w:rPr>
          <w:b w:val="0"/>
          <w:i/>
          <w:color w:val="5B6578"/>
        </w:rPr>
        <w:t>accord-percol-2021.md</w:t>
      </w:r>
      <w:r>
        <w:rPr>
          <w:b w:val="0"/>
          <w:i/>
          <w:color w:val="5B6578"/>
        </w:rPr>
        <w:t xml:space="preserve"> (19/03/2021). Rappel : le PERCOL est aussi l'une des 3 options de placement possibles pour l'intéressement (voir résumé Intéressement).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