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PV de désaccord NAO 2024</w:t>
      </w:r>
    </w:p>
    <w:p>
      <w:pPr>
        <w:pStyle w:val="Heading1"/>
      </w:pPr>
      <w:r>
        <w:rPr>
          <w:b w:val="0"/>
          <w:i w:val="0"/>
        </w:rPr>
        <w:t>Procès-verbal de désaccord — NAO 2024</w:t>
      </w:r>
    </w:p>
    <w:p>
      <w:pPr>
        <w:pStyle w:val="ListBullet"/>
      </w:pPr>
      <w:r>
        <w:rPr>
          <w:b/>
          <w:i w:val="0"/>
        </w:rPr>
        <w:t>Date de signature :</w:t>
      </w:r>
      <w:r>
        <w:rPr>
          <w:b w:val="0"/>
          <w:i w:val="0"/>
        </w:rPr>
        <w:t xml:space="preserve"> 18 avril 2024</w:t>
      </w:r>
    </w:p>
    <w:p>
      <w:pPr>
        <w:pStyle w:val="ListBullet"/>
      </w:pPr>
      <w:r>
        <w:rPr>
          <w:b/>
          <w:i w:val="0"/>
        </w:rPr>
        <w:t>Source :</w:t>
      </w:r>
      <w:r>
        <w:rPr>
          <w:b w:val="0"/>
          <w:i w:val="0"/>
        </w:rPr>
        <w:t xml:space="preserve"> converti depuis </w:t>
      </w:r>
      <w:r>
        <w:rPr>
          <w:b w:val="0"/>
          <w:i w:val="0"/>
        </w:rPr>
        <w:t>PV_NAO_2024_-_V_Finale.md</w:t>
      </w:r>
      <w:r>
        <w:rPr>
          <w:b w:val="0"/>
          <w:i w:val="0"/>
        </w:rPr>
        <w:t xml:space="preserve"> (Word), version de travail définitive avant signature</w:t>
      </w:r>
    </w:p>
    <w:p>
      <w:pPr>
        <w:pStyle w:val="ListBullet"/>
      </w:pPr>
      <w:r>
        <w:rPr>
          <w:b/>
          <w:i w:val="0"/>
        </w:rPr>
        <w:t>Document signé de référence (preuve juridique) :</w:t>
      </w:r>
      <w:r>
        <w:rPr>
          <w:b w:val="0"/>
          <w:i w:val="0"/>
        </w:rPr>
        <w:t xml:space="preserve"> PDF correspondant (</w:t>
      </w:r>
      <w:r>
        <w:rPr>
          <w:b w:val="0"/>
          <w:i w:val="0"/>
        </w:rPr>
        <w:t>NAO 2024 - PV Désaccord.pdf</w:t>
      </w:r>
      <w:r>
        <w:rPr>
          <w:b w:val="0"/>
          <w:i w:val="0"/>
        </w:rPr>
        <w:t>), conservé dans le même dossier</w:t>
      </w:r>
    </w:p>
    <w:p>
      <w:pPr>
        <w:pStyle w:val="ListBullet"/>
      </w:pPr>
      <w:r>
        <w:rPr>
          <w:b/>
          <w:i w:val="0"/>
        </w:rPr>
        <w:t>Note :</w:t>
      </w:r>
      <w:r>
        <w:rPr>
          <w:b w:val="0"/>
          <w:i w:val="0"/>
        </w:rPr>
        <w:t xml:space="preserve"> Procès-verbal de désaccord (NAO 2024) — classé dans la section NAO, pas dans les accords locaux.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/>
          <w:i w:val="0"/>
        </w:rPr>
        <w:t>PROCES VERBAL DE DESACCORD</w:t>
      </w:r>
    </w:p>
    <w:p>
      <w:r>
        <w:rPr>
          <w:b/>
          <w:i w:val="0"/>
        </w:rPr>
        <w:t>Négociations Annuelles Obligatoires au titre de 2024</w:t>
      </w:r>
    </w:p>
    <w:p>
      <w:r>
        <w:rPr>
          <w:b w:val="0"/>
          <w:i w:val="0"/>
        </w:rPr>
        <w:t>Entre les soussignés,</w:t>
      </w:r>
    </w:p>
    <w:p>
      <w:r>
        <w:rPr>
          <w:b w:val="0"/>
          <w:i w:val="0"/>
        </w:rPr>
        <w:t>L'Institut de Cancérologie de l'Ouest -- ICO</w:t>
      </w:r>
    </w:p>
    <w:p>
      <w:r>
        <w:rPr>
          <w:b w:val="0"/>
          <w:i w:val="0"/>
        </w:rPr>
        <w:t>Etablissement de santé privé d'intérêt collectif à but non lucratif assurant des missions de service public hospitalier,</w:t>
      </w:r>
    </w:p>
    <w:p>
      <w:r>
        <w:rPr>
          <w:b w:val="0"/>
          <w:i w:val="0"/>
        </w:rPr>
        <w:t>Dont le siège social est situé 15, rue André Boquel - CS 10059 -- 49055 ANGERS Cedex 02</w:t>
      </w:r>
    </w:p>
    <w:p>
      <w:r>
        <w:rPr>
          <w:b w:val="0"/>
          <w:i w:val="0"/>
        </w:rPr>
        <w:t>Représenté par le Pr Mario CAMPONE, en sa qualité de Directeur Général,</w:t>
      </w:r>
    </w:p>
    <w:p>
      <w:r>
        <w:rPr>
          <w:b w:val="0"/>
          <w:i w:val="0"/>
        </w:rPr>
        <w:t>Et les Organisations syndicales suivantes :</w:t>
      </w:r>
    </w:p>
    <w:p>
      <w:pPr>
        <w:pStyle w:val="ListBullet"/>
      </w:pPr>
    </w:p>
    <w:p>
      <w:r>
        <w:rPr>
          <w:b w:val="0"/>
          <w:i w:val="0"/>
        </w:rPr>
        <w:t>La CFE-CGC, représentée par M. Maxime BREMAUD, délégué syndical central,</w:t>
      </w:r>
    </w:p>
    <w:p>
      <w:pPr>
        <w:pStyle w:val="ListBullet"/>
      </w:pPr>
    </w:p>
    <w:p>
      <w:r>
        <w:rPr>
          <w:b w:val="0"/>
          <w:i w:val="0"/>
        </w:rPr>
        <w:t>La CGT-FO, représentée par M. David DI PERI, délégué syndical central,</w:t>
      </w:r>
    </w:p>
    <w:p>
      <w:pPr>
        <w:pStyle w:val="ListBullet"/>
      </w:pPr>
    </w:p>
    <w:p>
      <w:r>
        <w:rPr>
          <w:b w:val="0"/>
          <w:i w:val="0"/>
        </w:rPr>
        <w:t>SUD Santé Sociaux, représenté par M. Julien ROSAN, délégué syndical central.</w:t>
      </w:r>
    </w:p>
    <w:p>
      <w:r>
        <w:rPr>
          <w:b w:val="0"/>
          <w:i w:val="0"/>
        </w:rPr>
        <w:t>Afin de mener les négociations annuelles obligatoires dans un cadre clair et connu de tous, il a été conclu un accord de méthode le 10 novembre 2023.</w:t>
      </w:r>
    </w:p>
    <w:p>
      <w:r>
        <w:rPr>
          <w:b w:val="0"/>
          <w:i w:val="0"/>
        </w:rPr>
        <w:t>Conformément à celui-ci, des réunions se sont tenues dans le cadre des Négociations Annuelles Obligatoires aux dates suivantes :</w:t>
      </w:r>
    </w:p>
    <w:p>
      <w:r>
        <w:rPr>
          <w:b w:val="0"/>
          <w:i w:val="0"/>
        </w:rPr>
        <w:t>Réunion 1 : 28 septembre 2023</w:t>
      </w:r>
    </w:p>
    <w:p>
      <w:r>
        <w:rPr>
          <w:b w:val="0"/>
          <w:i w:val="0"/>
        </w:rPr>
        <w:t>Réunion 2 : 24 octobre 2023</w:t>
      </w:r>
    </w:p>
    <w:p>
      <w:r>
        <w:rPr>
          <w:b w:val="0"/>
          <w:i w:val="0"/>
        </w:rPr>
        <w:t>Réunion 3 : 30 novembre 2023</w:t>
      </w:r>
    </w:p>
    <w:p>
      <w:r>
        <w:rPr>
          <w:b w:val="0"/>
          <w:i w:val="0"/>
        </w:rPr>
        <w:t>Réunion 4 : 11 janvier 2024</w:t>
      </w:r>
    </w:p>
    <w:p>
      <w:r>
        <w:rPr>
          <w:b w:val="0"/>
          <w:i w:val="0"/>
        </w:rPr>
        <w:t>Réunion 5 : 13 février 2024.</w:t>
      </w:r>
    </w:p>
    <w:p>
      <w:r>
        <w:rPr>
          <w:b/>
          <w:i w:val="0"/>
        </w:rPr>
        <w:t>[1 -- Les revendications transmises par écrit par les OS :]{.underline}</w:t>
      </w:r>
    </w:p>
    <w:p>
      <w:r>
        <w:rPr>
          <w:b w:val="0"/>
          <w:i w:val="0"/>
        </w:rPr>
        <w:t>Le 24 octobre 2023, FO a transmis ses premières revendications à la direction :</w:t>
      </w:r>
    </w:p>
    <w:p>
      <w:pPr>
        <w:pStyle w:val="ListBullet"/>
      </w:pPr>
    </w:p>
    <w:p>
      <w:r>
        <w:rPr>
          <w:b w:val="0"/>
          <w:i w:val="0"/>
        </w:rPr>
        <w:t>Revalorisation des forfaits lors des déplacements (forfait bouche et hostellerie)</w:t>
      </w:r>
    </w:p>
    <w:p>
      <w:pPr>
        <w:pStyle w:val="ListBullet"/>
      </w:pPr>
    </w:p>
    <w:p>
      <w:r>
        <w:rPr>
          <w:b w:val="0"/>
          <w:i w:val="0"/>
        </w:rPr>
        <w:t>Prime de fidélisation :</w:t>
      </w:r>
    </w:p>
    <w:p>
      <w:pPr>
        <w:pStyle w:val="ListBullet"/>
      </w:pPr>
    </w:p>
    <w:p>
      <w:r>
        <w:rPr>
          <w:b w:val="0"/>
          <w:i w:val="0"/>
        </w:rPr>
        <w:t>A 10 ans de carrière correspondant à un treizième mois</w:t>
      </w:r>
    </w:p>
    <w:p>
      <w:pPr>
        <w:pStyle w:val="ListBullet"/>
      </w:pPr>
    </w:p>
    <w:p>
      <w:r>
        <w:rPr>
          <w:b w:val="0"/>
          <w:i w:val="0"/>
        </w:rPr>
        <w:t>A 20 ans de carrière ou plus correspondant à un treizième mois et une prise en charge à 100% de la mutuelle.</w:t>
      </w:r>
    </w:p>
    <w:p>
      <w:r>
        <w:rPr>
          <w:b w:val="0"/>
          <w:i w:val="0"/>
        </w:rPr>
        <w:t>```{=html}</w:t>
      </w:r>
    </w:p>
    <w:p>
      <w:r>
        <w:rPr>
          <w:b w:val="0"/>
          <w:i w:val="0"/>
        </w:rPr>
        <w:t>```</w:t>
      </w:r>
      <w:r>
        <w:rPr>
          <w:b w:val="0"/>
          <w:i w:val="0"/>
        </w:rPr>
        <w:t xml:space="preserve"> - L'augmentation de la prime vélo à hauteur de 200€ étendue aux trottinettes et aux marcheurs</w:t>
      </w:r>
    </w:p>
    <w:p>
      <w:r>
        <w:rPr>
          <w:b w:val="0"/>
          <w:i w:val="0"/>
        </w:rPr>
        <w:t>```{=html}</w:t>
      </w:r>
    </w:p>
    <w:p>
      <w:r>
        <w:rPr>
          <w:b w:val="0"/>
          <w:i w:val="0"/>
        </w:rPr>
        <w:t>```</w:t>
      </w:r>
      <w:r>
        <w:rPr>
          <w:b w:val="0"/>
          <w:i w:val="0"/>
        </w:rPr>
        <w:t xml:space="preserve"> - La possibilité de prendre des journées « enfants malades » en demi-journée.</w:t>
      </w:r>
    </w:p>
    <w:p>
      <w:pPr>
        <w:pStyle w:val="ListBullet"/>
      </w:pPr>
      <w:r>
        <w:rPr>
          <w:b w:val="0"/>
          <w:i w:val="0"/>
        </w:rPr>
        <w:t>La prise en charge totale des abonnements de transports en commun</w:t>
      </w:r>
    </w:p>
    <w:p>
      <w:r>
        <w:rPr>
          <w:b w:val="0"/>
          <w:i w:val="0"/>
        </w:rPr>
        <w:t>```{=html}</w:t>
      </w:r>
    </w:p>
    <w:p>
      <w:r>
        <w:rPr>
          <w:b w:val="0"/>
          <w:i w:val="0"/>
        </w:rPr>
        <w:t>```</w:t>
      </w:r>
      <w:r>
        <w:rPr>
          <w:b w:val="0"/>
          <w:i w:val="0"/>
        </w:rPr>
        <w:t xml:space="preserve"> - La prise en charge totale de la mutuelle pour les salariés</w:t>
      </w:r>
    </w:p>
    <w:p>
      <w:pPr>
        <w:pStyle w:val="ListBullet"/>
      </w:pPr>
    </w:p>
    <w:p>
      <w:r>
        <w:rPr>
          <w:b w:val="0"/>
          <w:i w:val="0"/>
        </w:rPr>
        <w:t>Reclasser les diététiciennes et les MER pour reconnaître leur troisième année d'étude</w:t>
      </w:r>
    </w:p>
    <w:p>
      <w:pPr>
        <w:pStyle w:val="ListBullet"/>
      </w:pPr>
    </w:p>
    <w:p>
      <w:r>
        <w:rPr>
          <w:b w:val="0"/>
          <w:i w:val="0"/>
        </w:rPr>
        <w:t>Augmentation générale des salaires à hauteur de l'inflation</w:t>
      </w:r>
    </w:p>
    <w:p>
      <w:pPr>
        <w:pStyle w:val="ListBullet"/>
      </w:pPr>
    </w:p>
    <w:p>
      <w:r>
        <w:rPr>
          <w:b w:val="0"/>
          <w:i w:val="0"/>
        </w:rPr>
        <w:t>Prime Ségur 2 étendue aux ASH et brancardiers</w:t>
      </w:r>
    </w:p>
    <w:p>
      <w:pPr>
        <w:pStyle w:val="ListBullet"/>
      </w:pPr>
    </w:p>
    <w:p>
      <w:r>
        <w:rPr>
          <w:b w:val="0"/>
          <w:i w:val="0"/>
        </w:rPr>
        <w:t>Jours enfants malades accordés aux deux salariés lorsque les deux salariés travaillent au centre</w:t>
      </w:r>
    </w:p>
    <w:p>
      <w:pPr>
        <w:pStyle w:val="ListBullet"/>
      </w:pPr>
    </w:p>
    <w:p>
      <w:r>
        <w:rPr>
          <w:b w:val="0"/>
          <w:i w:val="0"/>
        </w:rPr>
        <w:t>Tickets resto</w:t>
      </w:r>
    </w:p>
    <w:p>
      <w:pPr>
        <w:pStyle w:val="ListBullet"/>
      </w:pPr>
    </w:p>
    <w:p>
      <w:r>
        <w:rPr>
          <w:b w:val="0"/>
          <w:i w:val="0"/>
        </w:rPr>
        <w:t>Prime d'assiduité (1€ par jour travaillé)</w:t>
      </w:r>
    </w:p>
    <w:p>
      <w:pPr>
        <w:pStyle w:val="ListBullet"/>
      </w:pPr>
    </w:p>
    <w:p>
      <w:r>
        <w:rPr>
          <w:b w:val="0"/>
          <w:i w:val="0"/>
        </w:rPr>
        <w:t>Modalité de retenu des heures de grèves</w:t>
      </w:r>
    </w:p>
    <w:p>
      <w:r>
        <w:rPr>
          <w:b w:val="0"/>
          <w:i w:val="0"/>
        </w:rPr>
        <w:t>Le 26 octobre, FO complétait ses revendications par les demandes suivantes :</w:t>
      </w:r>
    </w:p>
    <w:p>
      <w:pPr>
        <w:pStyle w:val="ListBullet"/>
      </w:pPr>
    </w:p>
    <w:p>
      <w:r>
        <w:rPr>
          <w:b w:val="0"/>
          <w:i w:val="0"/>
        </w:rPr>
        <w:t>Pour les cadres au forfait jour :</w:t>
      </w:r>
    </w:p>
    <w:p>
      <w:pPr>
        <w:pStyle w:val="ListBullet"/>
      </w:pPr>
    </w:p>
    <w:p>
      <w:r>
        <w:rPr>
          <w:b w:val="0"/>
          <w:i w:val="0"/>
        </w:rPr>
        <w:t>Mise en place de la semaine de 4 jours ou le cas échéant passage de 206 à 200 jours d'objectif annuel</w:t>
      </w:r>
    </w:p>
    <w:p>
      <w:pPr>
        <w:pStyle w:val="ListBullet"/>
      </w:pPr>
    </w:p>
    <w:p>
      <w:r>
        <w:rPr>
          <w:b w:val="0"/>
          <w:i w:val="0"/>
        </w:rPr>
        <w:t>Augmentation de 2 mois du CET retraite conventionnelle sur l'ensemble des tranches</w:t>
      </w:r>
    </w:p>
    <w:p>
      <w:pPr>
        <w:pStyle w:val="ListBullet"/>
      </w:pPr>
    </w:p>
    <w:p>
      <w:r>
        <w:rPr>
          <w:b w:val="0"/>
          <w:i w:val="0"/>
        </w:rPr>
        <w:t>Révision de l'ATT non cadres sur la comptabilisation du temps de travail des horaires non postés du compteur intermédiaire :</w:t>
      </w:r>
    </w:p>
    <w:p>
      <w:pPr>
        <w:pStyle w:val="ListBullet"/>
      </w:pPr>
    </w:p>
    <w:p>
      <w:r>
        <w:rPr>
          <w:b w:val="0"/>
          <w:i w:val="0"/>
        </w:rPr>
        <w:t>Plafonnement annuel à 15h18 (2 jours de 7h39)</w:t>
      </w:r>
    </w:p>
    <w:p>
      <w:pPr>
        <w:pStyle w:val="ListBullet"/>
      </w:pPr>
    </w:p>
    <w:p>
      <w:r>
        <w:rPr>
          <w:b w:val="0"/>
          <w:i w:val="0"/>
        </w:rPr>
        <w:t>Plafond quotidien d'alimentation (dans la limite du plafond annuel) automatique sauf si demande d'heures supplémentaires = + 2h00</w:t>
      </w:r>
    </w:p>
    <w:p>
      <w:pPr>
        <w:pStyle w:val="ListBullet"/>
      </w:pPr>
    </w:p>
    <w:p>
      <w:r>
        <w:rPr>
          <w:b w:val="0"/>
          <w:i w:val="0"/>
        </w:rPr>
        <w:t>Plafond quotidien de prise de temps de ce compteur sans demande de REC mais avec accord écrit du N+1 : entre 1h00 et 7h39</w:t>
      </w:r>
    </w:p>
    <w:p>
      <w:pPr>
        <w:pStyle w:val="ListBullet"/>
      </w:pPr>
    </w:p>
    <w:p>
      <w:r>
        <w:rPr>
          <w:b w:val="0"/>
          <w:i w:val="0"/>
        </w:rPr>
        <w:t>Plafond quotidien de prise de temps de ce compteur sans demande de REC ni accord écrit du N+1 : entre 0h01 et 0h59</w:t>
      </w:r>
    </w:p>
    <w:p>
      <w:r>
        <w:rPr>
          <w:b w:val="0"/>
          <w:i w:val="0"/>
        </w:rPr>
        <w:t>Le 27 novembre 2023, la CFE CGC a transmis ses revendications. La CFE CGC demandait que la totalité de l'enveloppe de NAO soit destinée à une augmentation significative de la part prise en charge par l'employeur dans la mutuelle des salariés.</w:t>
      </w:r>
    </w:p>
    <w:p>
      <w:r>
        <w:rPr>
          <w:b w:val="0"/>
          <w:i w:val="0"/>
        </w:rPr>
        <w:t>SUD n'a pas transmis de revendications écrites.</w:t>
      </w:r>
    </w:p>
    <w:p>
      <w:r>
        <w:rPr>
          <w:b w:val="0"/>
          <w:i w:val="0"/>
        </w:rPr>
        <w:t>Cependant SUD a indiqué (réunion de NAO du 28 septembre 2024) revendiquer une augmentation uniforme de 150 € nets par salariés.</w:t>
      </w:r>
    </w:p>
    <w:p>
      <w:r>
        <w:rPr>
          <w:b/>
          <w:i w:val="0"/>
        </w:rPr>
        <w:t>[2 -- Les propositions initiales de la direction :]{.underline}</w:t>
      </w:r>
    </w:p>
    <w:p>
      <w:r>
        <w:rPr>
          <w:b w:val="0"/>
          <w:i w:val="0"/>
        </w:rPr>
        <w:t>La Direction propose une simplification du process de VAP : Lorsque le salarié atteint l'échéance temporelle de validation de son pallier de VAP (1 et 2), elle lui sera accordée de façon automatique.</w:t>
      </w:r>
    </w:p>
    <w:p>
      <w:r>
        <w:rPr>
          <w:b w:val="0"/>
          <w:i w:val="0"/>
        </w:rPr>
        <w:t>Il est convenu d'ouvrir une négociation sur ce point, en dehors des NAO, dans le courant du 1^er^ semestre 2024.</w:t>
      </w:r>
    </w:p>
    <w:p>
      <w:r>
        <w:rPr>
          <w:b/>
          <w:i w:val="0"/>
        </w:rPr>
        <w:t>[3 -- Analyse des revendications et positions de la direction :]{.underline}</w:t>
      </w:r>
    </w:p>
    <w:p>
      <w:pPr>
        <w:pStyle w:val="ListNumber"/>
      </w:pPr>
      <w:r>
        <w:rPr>
          <w:b w:val="0"/>
          <w:i w:val="0"/>
        </w:rPr>
        <w:t>[- Mutuelle employeur :]{.underline}</w:t>
      </w:r>
    </w:p>
    <w:p>
      <w:r>
        <w:rPr>
          <w:b w:val="0"/>
          <w:i w:val="0"/>
        </w:rPr>
        <w:t>Le contrat complémentaire frais de santé comprend 3 modules. Seul le module 1 est obligatoire pour le salarié seul. L'employeur le porte à 75%. Cela a pèse (en 2024) 94.065 € (contre 88.740 € en 2023).</w:t>
      </w:r>
    </w:p>
    <w:p>
      <w:r>
        <w:rPr>
          <w:b w:val="0"/>
          <w:i w:val="0"/>
        </w:rPr>
        <w:t>Nous ne pouvons pas prendre en charge d'autres modules sauf à le rendre obligatoire (et donc à supprimer de fait le module 1).</w:t>
      </w:r>
    </w:p>
    <w:p>
      <w:r>
        <w:rPr>
          <w:b w:val="0"/>
          <w:i w:val="0"/>
        </w:rPr>
        <w:t>Nous n'augmenterons pas la hauteur relative de notre participation à la CFS :</w:t>
      </w:r>
    </w:p>
    <w:p>
      <w:r>
        <w:rPr>
          <w:b w:val="0"/>
          <w:i w:val="0"/>
        </w:rPr>
        <w:t>- ce qui n'est pas acheté n'a pas de valeur,</w:t>
      </w:r>
    </w:p>
    <w:p>
      <w:r>
        <w:rPr>
          <w:b w:val="0"/>
          <w:i w:val="0"/>
        </w:rPr>
        <w:t>- en cas de dérive du contrat, nos leviers de sensibilisation deviennent nuls.</w:t>
      </w:r>
    </w:p>
    <w:p>
      <w:pPr>
        <w:pStyle w:val="ListNumber"/>
      </w:pPr>
      <w:r>
        <w:rPr>
          <w:b w:val="0"/>
          <w:i w:val="0"/>
        </w:rPr>
        <w:t>[-- Revalorisation des forfaits hôtellerie et restauration lors des déplacements formation :]{.underline}</w:t>
      </w:r>
    </w:p>
    <w:p>
      <w:r>
        <w:rPr>
          <w:b w:val="0"/>
          <w:i w:val="0"/>
        </w:rPr>
        <w:t>Cela a été fait. Une note de service a été diffusée le 14 décembre 2023 et pose des forfaits révisés.</w:t>
      </w:r>
    </w:p>
    <w:p>
      <w:r>
        <w:rPr>
          <w:b w:val="0"/>
          <w:i w:val="0"/>
        </w:rPr>
        <w:t>[3-3 -- Augmentation de la prime vélo et extension aux marcheurs :]{.underline}</w:t>
      </w:r>
    </w:p>
    <w:p>
      <w:r>
        <w:rPr>
          <w:b w:val="0"/>
          <w:i w:val="0"/>
        </w:rPr>
        <w:t>Il est convenu de négocier au cours du 1^er^ semestre 2024 un accord sur les forfaits mobilités durables</w:t>
      </w:r>
    </w:p>
    <w:p>
      <w:r>
        <w:rPr>
          <w:b w:val="0"/>
          <w:i w:val="0"/>
        </w:rPr>
        <w:t>[3-4 -- Installation de titre restaurants]{.underline}</w:t>
      </w:r>
    </w:p>
    <w:p>
      <w:r>
        <w:rPr>
          <w:b w:val="0"/>
          <w:i w:val="0"/>
        </w:rPr>
        <w:t>L'ICO participe à la prise en charge du prix de la cantine du CHU pour les salariés souhaitant y aller (à Angers comme à St Herblain). De plus une remise est négociée pour les salariés sur tous les repas pris à la cafétaria (à l'occasion du nouvel appel d'offres restauration).</w:t>
      </w:r>
    </w:p>
    <w:p>
      <w:r>
        <w:rPr>
          <w:b w:val="0"/>
          <w:i w:val="0"/>
        </w:rPr>
        <w:t>Nous n'allons donc pas vers le TR.</w:t>
      </w:r>
    </w:p>
    <w:p>
      <w:r>
        <w:rPr>
          <w:b w:val="0"/>
          <w:i w:val="0"/>
        </w:rPr>
        <w:t>[3-5 -- L'augmentation des salaires à hauteur de l'inflation :]{.underline}</w:t>
      </w:r>
    </w:p>
    <w:p>
      <w:r>
        <w:rPr>
          <w:b w:val="0"/>
          <w:i w:val="0"/>
        </w:rPr>
        <w:t>L'inflation a été de 3.5% à fin novembre 2023 par rapport à novembre 2022. L'augmentation de la masse salariale serait donc de l'ordre de 2155 K€ bruts annuels (*) soit environ 3340 K€ chargés annuels. Nous n'en avons pas les moyens.</w:t>
      </w:r>
    </w:p>
    <w:p>
      <w:r>
        <w:rPr>
          <w:b w:val="0"/>
          <w:i w:val="0"/>
        </w:rPr>
        <w:t>L'installation d'une augmentation de 150 € nets mensuels par salarié pèse environ 195 € bruts mensuels, ou 2340 € bruts annuels. Rapportés à l'effectif ETP (*), cela pèse 3166 K€ bruts annuels ou 4900 K€ chargés annuels. Nous n'en avons pas les moyens.</w:t>
      </w:r>
    </w:p>
    <w:p>
      <w:r>
        <w:rPr>
          <w:b w:val="0"/>
          <w:i w:val="0"/>
        </w:rPr>
        <w:t>* Référence faite aux données du bilan social 2022.</w:t>
      </w:r>
    </w:p>
    <w:p>
      <w:r>
        <w:rPr>
          <w:b w:val="0"/>
          <w:i w:val="0"/>
        </w:rPr>
        <w:t>[3-6 -- Installation d'une prime d'assiduité :]{.underline}</w:t>
      </w:r>
    </w:p>
    <w:p>
      <w:r>
        <w:rPr>
          <w:b w:val="0"/>
          <w:i w:val="0"/>
        </w:rPr>
        <w:t>L'assiduité consiste à venir au travail comme convenu. La contrepartie de cela est le salaire, pas une prime.</w:t>
      </w:r>
    </w:p>
    <w:p>
      <w:r>
        <w:rPr>
          <w:b w:val="0"/>
          <w:i w:val="0"/>
        </w:rPr>
        <w:t>[3-7 -- Modalité de retenue des heures de grève :]{.underline}</w:t>
      </w:r>
    </w:p>
    <w:p>
      <w:r>
        <w:rPr>
          <w:b w:val="0"/>
          <w:i w:val="0"/>
        </w:rPr>
        <w:t>Nous nous engageons à étudier d'ici juin 2024 la faisabilité du retour vers les modalités de décompte prévues par le code du travail.</w:t>
      </w:r>
    </w:p>
    <w:p>
      <w:r>
        <w:rPr>
          <w:b w:val="0"/>
          <w:i w:val="0"/>
        </w:rPr>
        <w:t>Sous réserve de faisabilité juridique, une dénonciation en bonne et due forme de la pratique actuelle sera effectuée devant le CSE central le moment venu, avec un préavis de 6 mois.</w:t>
      </w:r>
    </w:p>
    <w:p>
      <w:r>
        <w:rPr>
          <w:b w:val="0"/>
          <w:i w:val="0"/>
        </w:rPr>
        <w:t>[3 -- 8 -- La prime de fidélisation :]{.underline}</w:t>
      </w:r>
    </w:p>
    <w:p>
      <w:pPr>
        <w:pStyle w:val="ListBullet"/>
      </w:pPr>
    </w:p>
    <w:p>
      <w:r>
        <w:rPr>
          <w:b w:val="0"/>
          <w:i w:val="0"/>
        </w:rPr>
        <w:t>A 10 ans de carrière correspondant à un treizième mois. Plus de 10 ans : 674 personnes concernées (BS 2022). Impact de l'ordre de 2,3 M€ bruts annuels (en référence aux données du bilan social 2022)</w:t>
      </w:r>
    </w:p>
    <w:p>
      <w:pPr>
        <w:pStyle w:val="ListBullet"/>
      </w:pPr>
    </w:p>
    <w:p>
      <w:r>
        <w:rPr>
          <w:b w:val="0"/>
          <w:i w:val="0"/>
        </w:rPr>
        <w:t>A 20 ans de carrière ou plus correspondant à un treizième mois et une prise en charge à 100% de la mutuelle. 266 personnes concernées (BS 2022). Impact de l'ordre de 912 K€ bruts annuels (en référence aux données du bilan social 2022)</w:t>
      </w:r>
    </w:p>
    <w:p>
      <w:r>
        <w:rPr>
          <w:b w:val="0"/>
          <w:i w:val="0"/>
        </w:rPr>
        <w:t>L'impact total serait de 3212 K€ bruts annuels ou 4978 K€ chargés annuels. Nous n'en avons pas les moyens.</w:t>
      </w:r>
    </w:p>
    <w:p>
      <w:r>
        <w:rPr>
          <w:b w:val="0"/>
          <w:i w:val="0"/>
        </w:rPr>
        <w:t>[3-9 -- Demande de possibilité de prendre en demi-journée les journées « enfants malades »]{.underline}</w:t>
      </w:r>
    </w:p>
    <w:p>
      <w:r>
        <w:rPr>
          <w:b w:val="0"/>
          <w:i w:val="0"/>
        </w:rPr>
        <w:t>Nous réservons notre réponse à une instruction avancée du sujet.</w:t>
      </w:r>
    </w:p>
    <w:p>
      <w:r>
        <w:rPr>
          <w:b w:val="0"/>
          <w:i w:val="0"/>
        </w:rPr>
        <w:t>[3-10 -- Journées enfants malades accordées aux 2 parents lorsque les 2 sont salariés de l'ICO]{.underline}</w:t>
      </w:r>
    </w:p>
    <w:p>
      <w:r>
        <w:rPr>
          <w:b w:val="0"/>
          <w:i w:val="0"/>
        </w:rPr>
        <w:t>Sous réserve que les 2 parents ne prennent pas la journée enfant malade en même temps, nous acceptons le principe.</w:t>
      </w:r>
    </w:p>
    <w:p>
      <w:r>
        <w:rPr>
          <w:b w:val="0"/>
          <w:i w:val="0"/>
        </w:rPr>
        <w:t>[3-11 -- Versement de la prime Ségur 2 aux ASH et aux brancardiers]{.underline}</w:t>
      </w:r>
    </w:p>
    <w:p>
      <w:r>
        <w:rPr>
          <w:b w:val="0"/>
          <w:i w:val="0"/>
        </w:rPr>
        <w:t>Nous restons dans le cadre réglementaire.</w:t>
      </w:r>
    </w:p>
    <w:p>
      <w:r>
        <w:rPr>
          <w:b w:val="0"/>
          <w:i w:val="0"/>
        </w:rPr>
        <w:t>[3-12 -- Reclassement des MER et diététiciens :]{.underline}</w:t>
      </w:r>
    </w:p>
    <w:p>
      <w:r>
        <w:rPr>
          <w:b w:val="0"/>
          <w:i w:val="0"/>
        </w:rPr>
        <w:t>Nous nous en tenons aux classifications posées par la CCN Unicancer. Au demeurant celles-ci font l'objet de travaux : nous adapterons nos positions une fois les accords nationaux signés.</w:t>
      </w:r>
    </w:p>
    <w:p>
      <w:r>
        <w:rPr>
          <w:b w:val="0"/>
          <w:i w:val="0"/>
        </w:rPr>
        <w:t>[3-13 -- Installation d'un compteur intermédiaire élargi pour les salariés non postés :]{.underline}</w:t>
      </w:r>
    </w:p>
    <w:p>
      <w:r>
        <w:rPr>
          <w:b w:val="0"/>
          <w:i w:val="0"/>
        </w:rPr>
        <w:t>Engagement pris d'ouvrir une négociation sur ce dossier dans le courant du 1^er^ trimestre 2024 en vue d'aboutit à un accord.</w:t>
      </w:r>
    </w:p>
    <w:p>
      <w:r>
        <w:rPr>
          <w:b/>
          <w:i w:val="0"/>
        </w:rPr>
        <w:t>4 -- Formalité de dépôt et de publicité</w:t>
      </w:r>
    </w:p>
    <w:p>
      <w:r>
        <w:rPr>
          <w:b w:val="0"/>
          <w:i w:val="0"/>
        </w:rPr>
        <w:t>Un exemplaire original est remis à chaque délégué syndical de l'ensemble des organisations syndicales représentatives de l'ICO.</w:t>
      </w:r>
    </w:p>
    <w:p>
      <w:r>
        <w:rPr>
          <w:b w:val="0"/>
          <w:i w:val="0"/>
        </w:rPr>
        <w:t>Le présent procès verbal sera porté à la connaissance du personnel par sa mise en ligne sur l'intranet de l'entreprise.</w:t>
      </w:r>
    </w:p>
    <w:p>
      <w:r>
        <w:rPr>
          <w:b w:val="0"/>
          <w:i w:val="0"/>
        </w:rPr>
        <w:t>Le présent accord donnera lieu à dépôt dans les conditions prévues aux articles L. 2231-6 et D. 2231- 2 et suivants du code du travail. Il sera déposé :</w:t>
      </w:r>
    </w:p>
    <w:p>
      <w:pPr>
        <w:pStyle w:val="ListBullet"/>
      </w:pPr>
    </w:p>
    <w:p>
      <w:r>
        <w:rPr>
          <w:b w:val="0"/>
          <w:i w:val="0"/>
        </w:rPr>
        <w:t>Sur la plateforme de téléprocédure dénommée « TéléAccords » accompagné des pièces prévues aux articles D. 2231-6 et D. 2231-7 du code du travail (</w:t>
      </w:r>
      <w:r>
        <w:rPr>
          <w:b w:val="0"/>
          <w:i w:val="0"/>
        </w:rPr>
        <w:t>www.teleaccords.travail-emploi.gouv.fr/PortailTeleprocedures/</w:t>
      </w:r>
      <w:r>
        <w:rPr>
          <w:b w:val="0"/>
          <w:i w:val="0"/>
        </w:rPr>
        <w:t>).;</w:t>
      </w:r>
    </w:p>
    <w:p>
      <w:pPr>
        <w:pStyle w:val="ListBullet"/>
      </w:pPr>
    </w:p>
    <w:p>
      <w:r>
        <w:rPr>
          <w:b w:val="0"/>
          <w:i w:val="0"/>
        </w:rPr>
        <w:t>Et en un exemplaire auprès du secrétariat greffe du conseil de prud\'hommes du lieu de sa conclusion.</w:t>
      </w:r>
    </w:p>
    <w:p>
      <w:r>
        <w:rPr>
          <w:b w:val="0"/>
          <w:i w:val="0"/>
        </w:rPr>
        <w:t>Les Parties rappellent que, dans un acte distinct du présent accord, elles pourront convenir qu'une partie du présent accord ne fera pas l'objet de la publication prévue à l'article L 2231-5-1 du Code du travail. En outre, l\'employeur peut occulter les éléments portant atteinte aux intérêts stratégiques de l\'entreprise.</w:t>
      </w:r>
    </w:p>
    <w:p>
      <w:r>
        <w:rPr>
          <w:b w:val="0"/>
          <w:i w:val="0"/>
        </w:rPr>
        <w:t>Fait à Angers,</w:t>
      </w:r>
    </w:p>
    <w:p>
      <w:r>
        <w:rPr>
          <w:b w:val="0"/>
          <w:i w:val="0"/>
        </w:rPr>
        <w:t>Le 18 avril 2024</w:t>
      </w:r>
    </w:p>
    <w:p>
      <w:r>
        <w:rPr>
          <w:b w:val="0"/>
          <w:i w:val="0"/>
        </w:rPr>
        <w:t>En 5 exemplaires originaux</w:t>
      </w:r>
    </w:p>
    <w:p>
      <w:r>
        <w:rPr>
          <w:b w:val="0"/>
          <w:i w:val="0"/>
        </w:rPr>
        <w:t>Pr Mario CAMPONE</w:t>
      </w:r>
    </w:p>
    <w:p>
      <w:r>
        <w:rPr>
          <w:b w:val="0"/>
          <w:i w:val="0"/>
        </w:rPr>
        <w:t>Directeur Général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