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PV de désaccord NAO 2025</w:t>
      </w:r>
    </w:p>
    <w:p>
      <w:pPr>
        <w:pStyle w:val="Heading1"/>
      </w:pPr>
      <w:r>
        <w:rPr>
          <w:b w:val="0"/>
          <w:i w:val="0"/>
        </w:rPr>
        <w:t>Procès-verbal de désaccord — NAO 2025</w:t>
      </w:r>
    </w:p>
    <w:p>
      <w:pPr>
        <w:pStyle w:val="ListBullet"/>
      </w:pPr>
      <w:r>
        <w:rPr>
          <w:b/>
          <w:i w:val="0"/>
        </w:rPr>
        <w:t>Date de signature :</w:t>
      </w:r>
      <w:r>
        <w:rPr>
          <w:b w:val="0"/>
          <w:i w:val="0"/>
        </w:rPr>
        <w:t xml:space="preserve"> 13 octobre 2025</w:t>
      </w:r>
    </w:p>
    <w:p>
      <w:pPr>
        <w:pStyle w:val="ListBullet"/>
      </w:pPr>
      <w:r>
        <w:rPr>
          <w:b/>
          <w:i w:val="0"/>
        </w:rPr>
        <w:t>Source :</w:t>
      </w:r>
      <w:r>
        <w:rPr>
          <w:b w:val="0"/>
          <w:i w:val="0"/>
        </w:rPr>
        <w:t xml:space="preserve"> converti depuis </w:t>
      </w:r>
      <w:r>
        <w:rPr>
          <w:b w:val="0"/>
          <w:i w:val="0"/>
        </w:rPr>
        <w:t>PV_NAO_2025_-_V_2.md</w:t>
      </w:r>
      <w:r>
        <w:rPr>
          <w:b w:val="0"/>
          <w:i w:val="0"/>
        </w:rPr>
        <w:t xml:space="preserve"> (Word), version de travail définitive avant signature</w:t>
      </w:r>
    </w:p>
    <w:p>
      <w:pPr>
        <w:pStyle w:val="ListBullet"/>
      </w:pPr>
      <w:r>
        <w:rPr>
          <w:b/>
          <w:i w:val="0"/>
        </w:rPr>
        <w:t>Document signé de référence (preuve juridique) :</w:t>
      </w:r>
      <w:r>
        <w:rPr>
          <w:b w:val="0"/>
          <w:i w:val="0"/>
        </w:rPr>
        <w:t xml:space="preserve"> PDF correspondant, conservé dans le même dossier</w:t>
      </w:r>
    </w:p>
    <w:p>
      <w:pPr>
        <w:pStyle w:val="ListBullet"/>
      </w:pPr>
      <w:r>
        <w:rPr>
          <w:b/>
          <w:i w:val="0"/>
        </w:rPr>
        <w:t>Note :</w:t>
      </w:r>
      <w:r>
        <w:rPr>
          <w:b w:val="0"/>
          <w:i w:val="0"/>
        </w:rPr>
        <w:t xml:space="preserve"> Procès-verbal de désaccord (NAO 2025) — classé dans la section NAO, pas dans les accords locaux.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/>
          <w:i w:val="0"/>
        </w:rPr>
        <w:t>PROCES VERBAL DE DESACCORD</w:t>
      </w:r>
    </w:p>
    <w:p>
      <w:r>
        <w:rPr>
          <w:b/>
          <w:i w:val="0"/>
        </w:rPr>
        <w:t>Négociations Annuelles Obligatoires au titre de 2025</w:t>
      </w:r>
    </w:p>
    <w:p>
      <w:r>
        <w:rPr>
          <w:b w:val="0"/>
          <w:i w:val="0"/>
        </w:rPr>
        <w:t>Afin de mener les négociations annuelles obligatoires dans un cadre clair et connu de tous, il a été signé un accord de méthode le 28 mai 2025.</w:t>
      </w:r>
    </w:p>
    <w:p>
      <w:r>
        <w:rPr>
          <w:b w:val="0"/>
          <w:i w:val="0"/>
        </w:rPr>
        <w:t>Conformément à celui-ci, des réunions se sont tenues dans le cadre des Négociations Annuelles Obligatoires aux dates suivantes :</w:t>
      </w:r>
    </w:p>
    <w:p>
      <w:r>
        <w:rPr>
          <w:b w:val="0"/>
          <w:i w:val="0"/>
        </w:rPr>
        <w:t>Réunion 1 : 13 mai 2025</w:t>
      </w:r>
    </w:p>
    <w:p>
      <w:r>
        <w:rPr>
          <w:b w:val="0"/>
          <w:i w:val="0"/>
        </w:rPr>
        <w:t>Réunion 2 : 3 juin 2025</w:t>
      </w:r>
    </w:p>
    <w:p>
      <w:r>
        <w:rPr>
          <w:b w:val="0"/>
          <w:i w:val="0"/>
        </w:rPr>
        <w:t>Réunion 3 : initialement prévue le 1er juillet 2025, la réunion s'est finalement tenue le 3 juillet 2025.</w:t>
      </w:r>
    </w:p>
    <w:p>
      <w:r>
        <w:rPr>
          <w:b/>
          <w:i w:val="0"/>
        </w:rPr>
        <w:t>[1 -- Les revendications transmises par écrit par les OS :]{.underline}</w:t>
      </w:r>
    </w:p>
    <w:p>
      <w:r>
        <w:rPr>
          <w:b w:val="0"/>
          <w:i w:val="0"/>
        </w:rPr>
        <w:t>Le 2 juin 2025, SUD a transmis ses revendications par mail à la direction :</w:t>
      </w:r>
    </w:p>
    <w:p>
      <w:pPr>
        <w:pStyle w:val="ListBullet"/>
      </w:pPr>
    </w:p>
    <w:p>
      <w:r>
        <w:rPr>
          <w:b w:val="0"/>
          <w:i w:val="0"/>
        </w:rPr>
        <w:t>Prime de 13^ème^ mois pour chaque salarié(e) de l'ICO. Répartie en deux versements semestriels.</w:t>
      </w:r>
    </w:p>
    <w:p>
      <w:pPr>
        <w:pStyle w:val="ListBullet"/>
      </w:pPr>
    </w:p>
    <w:p>
      <w:r>
        <w:rPr>
          <w:b w:val="0"/>
          <w:i w:val="0"/>
        </w:rPr>
        <w:t>Revalorisation du nombre de MG pour dimanche et jours fériés pour arriver à un montant de 100€ net/jour.</w:t>
      </w:r>
    </w:p>
    <w:p>
      <w:pPr>
        <w:pStyle w:val="ListBullet"/>
      </w:pPr>
    </w:p>
    <w:p>
      <w:r>
        <w:rPr>
          <w:b w:val="0"/>
          <w:i w:val="0"/>
        </w:rPr>
        <w:t>Création d'une prime de travail du samedi de 75€ net/jour.</w:t>
      </w:r>
    </w:p>
    <w:p>
      <w:pPr>
        <w:pStyle w:val="ListBullet"/>
      </w:pPr>
    </w:p>
    <w:p>
      <w:r>
        <w:rPr>
          <w:b w:val="0"/>
          <w:i w:val="0"/>
        </w:rPr>
        <w:t>Négociation de parcours de carrière dans les catégories suivantes : Préparatrice en pharmacie, secrétaire administratif, techniciens, aide service hospitalier, aide-soignante.</w:t>
      </w:r>
    </w:p>
    <w:p>
      <w:r>
        <w:rPr>
          <w:b w:val="0"/>
          <w:i w:val="0"/>
        </w:rPr>
        <w:t>Le 3 juin 2025, la CFE CGC a transmis ses revendications en séance :</w:t>
      </w:r>
    </w:p>
    <w:p>
      <w:pPr>
        <w:pStyle w:val="ListBullet"/>
      </w:pPr>
    </w:p>
    <w:p>
      <w:r>
        <w:rPr>
          <w:b w:val="0"/>
          <w:i w:val="0"/>
        </w:rPr>
        <w:t>Avoir un taux de BIC de 1% (entièrement « bacable »)</w:t>
      </w:r>
    </w:p>
    <w:p>
      <w:pPr>
        <w:pStyle w:val="ListBullet"/>
      </w:pPr>
    </w:p>
    <w:p>
      <w:r>
        <w:rPr>
          <w:b w:val="0"/>
          <w:i w:val="0"/>
        </w:rPr>
        <w:t>Doubler le forfait mobilité douce</w:t>
      </w:r>
    </w:p>
    <w:p>
      <w:pPr>
        <w:pStyle w:val="ListBullet"/>
      </w:pPr>
    </w:p>
    <w:p>
      <w:r>
        <w:rPr>
          <w:b w:val="0"/>
          <w:i w:val="0"/>
        </w:rPr>
        <w:t>Ouvrir une négociation sur la semaine de 4 jours</w:t>
      </w:r>
    </w:p>
    <w:p>
      <w:r>
        <w:rPr>
          <w:b w:val="0"/>
          <w:i w:val="0"/>
        </w:rPr>
        <w:t>Le 13 juin, FO a transmis ses revendications par mail :</w:t>
      </w:r>
    </w:p>
    <w:p>
      <w:pPr>
        <w:pStyle w:val="ListBullet"/>
      </w:pPr>
    </w:p>
    <w:p>
      <w:r>
        <w:rPr>
          <w:b w:val="0"/>
          <w:i w:val="0"/>
        </w:rPr>
        <w:t>Création d'un congé spécifique en lien avec une action humanitaire</w:t>
      </w:r>
    </w:p>
    <w:p>
      <w:pPr>
        <w:pStyle w:val="ListBullet"/>
      </w:pPr>
    </w:p>
    <w:p>
      <w:r>
        <w:rPr>
          <w:b w:val="0"/>
          <w:i w:val="0"/>
        </w:rPr>
        <w:t>Prise en charge des trottinettes dans l'accord mobilité</w:t>
      </w:r>
    </w:p>
    <w:p>
      <w:pPr>
        <w:pStyle w:val="ListBullet"/>
      </w:pPr>
    </w:p>
    <w:p>
      <w:r>
        <w:rPr>
          <w:b w:val="0"/>
          <w:i w:val="0"/>
        </w:rPr>
        <w:t>Augmentation de la prime mobilité à 450€</w:t>
      </w:r>
    </w:p>
    <w:p>
      <w:pPr>
        <w:pStyle w:val="ListBullet"/>
      </w:pPr>
    </w:p>
    <w:p>
      <w:r>
        <w:rPr>
          <w:b w:val="0"/>
          <w:i w:val="0"/>
        </w:rPr>
        <w:t>Moyenne de Bic à 1% de façon pérenne</w:t>
      </w:r>
    </w:p>
    <w:p>
      <w:pPr>
        <w:pStyle w:val="ListBullet"/>
      </w:pPr>
    </w:p>
    <w:p>
      <w:r>
        <w:rPr>
          <w:b w:val="0"/>
          <w:i w:val="0"/>
        </w:rPr>
        <w:t>Création d'un 13eme mois versé en 2 fois</w:t>
      </w:r>
    </w:p>
    <w:p>
      <w:pPr>
        <w:pStyle w:val="ListBullet"/>
      </w:pPr>
    </w:p>
    <w:p>
      <w:r>
        <w:rPr>
          <w:b w:val="0"/>
          <w:i w:val="0"/>
        </w:rPr>
        <w:t>Création d'un palier supplémentaire de pep pour les non-cadres</w:t>
      </w:r>
    </w:p>
    <w:p>
      <w:pPr>
        <w:pStyle w:val="ListBullet"/>
      </w:pPr>
    </w:p>
    <w:p>
      <w:r>
        <w:rPr>
          <w:b w:val="0"/>
          <w:i w:val="0"/>
        </w:rPr>
        <w:t>Conservation de la PEP lors du passage de non-cadre à cadre</w:t>
      </w:r>
    </w:p>
    <w:p>
      <w:pPr>
        <w:pStyle w:val="ListBullet"/>
      </w:pPr>
    </w:p>
    <w:p>
      <w:r>
        <w:rPr>
          <w:b w:val="0"/>
          <w:i w:val="0"/>
        </w:rPr>
        <w:t>Création d'une prime d'ancienneté pour les salariés ayant 20 ans d'ancienneté en jour ou en valeur.</w:t>
      </w:r>
    </w:p>
    <w:p>
      <w:pPr>
        <w:pStyle w:val="ListBullet"/>
      </w:pPr>
    </w:p>
    <w:p>
      <w:r>
        <w:rPr>
          <w:b w:val="0"/>
          <w:i w:val="0"/>
        </w:rPr>
        <w:t>Ouverture des négociations sur le parcours pro des secrétaires administratives</w:t>
      </w:r>
    </w:p>
    <w:p>
      <w:r>
        <w:rPr>
          <w:b/>
          <w:i w:val="0"/>
        </w:rPr>
        <w:t>[2 -- Les propositions initiales de la direction :]{.underline}</w:t>
      </w:r>
    </w:p>
    <w:p>
      <w:r>
        <w:rPr>
          <w:b w:val="0"/>
          <w:i w:val="0"/>
        </w:rPr>
        <w:t>La Direction, après avoir rappelé que l'accord d'intéressement 2025-27 emporte une enveloppe potentielle conséquente, précise ne pas faire de proposition spontanée.</w:t>
      </w:r>
    </w:p>
    <w:p>
      <w:r>
        <w:rPr>
          <w:b/>
          <w:i w:val="0"/>
        </w:rPr>
        <w:t>[3 -- Analyse des revendications et positions de la direction :]{.underline}</w:t>
      </w:r>
    </w:p>
    <w:p>
      <w:pPr>
        <w:pStyle w:val="ListNumber"/>
      </w:pPr>
      <w:r>
        <w:rPr>
          <w:b w:val="0"/>
          <w:i w:val="0"/>
        </w:rPr>
        <w:t>[-- Installation d'un 13^ème^ mois :]{.underline}</w:t>
      </w:r>
    </w:p>
    <w:p>
      <w:r>
        <w:rPr>
          <w:b w:val="0"/>
          <w:i w:val="0"/>
        </w:rPr>
        <w:t>La masse salariale brute de l'ICO (2024) s'élève à 69 607 203 € bruts (source : bilan social 2024).</w:t>
      </w:r>
    </w:p>
    <w:p>
      <w:r>
        <w:rPr>
          <w:b w:val="0"/>
          <w:i w:val="0"/>
        </w:rPr>
        <w:t>La demande d'un 13^ème^ mois pèse un douzième de ce total. Un douzième de cette somme pèse 5,8 M€ brut soit environ 8,9 M€ chargés.</w:t>
      </w:r>
    </w:p>
    <w:p>
      <w:r>
        <w:rPr>
          <w:b w:val="0"/>
          <w:i w:val="0"/>
        </w:rPr>
        <w:t>Cette demande n'est pas soutenable : nous ne pouvons pas donner de suite favorable à la revendication.</w:t>
      </w:r>
    </w:p>
    <w:p>
      <w:pPr>
        <w:pStyle w:val="ListNumber"/>
      </w:pPr>
      <w:r>
        <w:rPr>
          <w:b w:val="0"/>
          <w:i w:val="0"/>
        </w:rPr>
        <w:t>[-- Revalorisation du nombre de MG pour arriver à 100 € par dimanche et jours fériés :]{.underline}</w:t>
      </w:r>
    </w:p>
    <w:p>
      <w:r>
        <w:rPr>
          <w:b w:val="0"/>
          <w:i w:val="0"/>
        </w:rPr>
        <w:t>Actuellement, nous observons qu'en moyenne, les dimanche et fériés sont indemnisés :</w:t>
      </w:r>
    </w:p>
    <w:p>
      <w:pPr>
        <w:pStyle w:val="ListBullet"/>
      </w:pPr>
    </w:p>
    <w:p>
      <w:r>
        <w:rPr>
          <w:b w:val="0"/>
          <w:i w:val="0"/>
        </w:rPr>
        <w:t>107 € bruts à Nantes, soit environ 82 € nets avant impôts</w:t>
      </w:r>
    </w:p>
    <w:p>
      <w:pPr>
        <w:pStyle w:val="ListBullet"/>
      </w:pPr>
    </w:p>
    <w:p>
      <w:r>
        <w:rPr>
          <w:b w:val="0"/>
          <w:i w:val="0"/>
        </w:rPr>
        <w:t>114 € bruts à Angers, soit environ 87 € nets avant impôts.</w:t>
      </w:r>
    </w:p>
    <w:p>
      <w:r>
        <w:rPr>
          <w:b w:val="0"/>
          <w:i w:val="0"/>
        </w:rPr>
        <w:t>Cette moyenne est tirée des paies de mars et avril 2025.</w:t>
      </w:r>
    </w:p>
    <w:p>
      <w:r>
        <w:rPr>
          <w:b w:val="0"/>
          <w:i w:val="0"/>
        </w:rPr>
        <w:t>La demande visant à atteindre les 100 € nets revient approximativement à 100 x 1,23= 123 € bruts par journée. Cela revient à une progression de l'enveloppe de près de 15% sur Angers et de près de 8% sur St Herblain.</w:t>
      </w:r>
    </w:p>
    <w:p>
      <w:r>
        <w:rPr>
          <w:b w:val="0"/>
          <w:i w:val="0"/>
        </w:rPr>
        <w:t>En rythme annuel, l'évolution de masse salariale est de l'ordre de 34,5 K€ chargés pour Angers et de 47,2 K€ chargés pour SHB, soit 81,8 K€ chargés au bénéfice d'environ 238 personnes chaque mois (135 sur St Herblain et 103 sur Angers).</w:t>
      </w:r>
    </w:p>
    <w:p>
      <w:r>
        <w:rPr>
          <w:b w:val="0"/>
          <w:i w:val="0"/>
        </w:rPr>
        <w:t>Nous ne donnons pas suite à cette demande.</w:t>
      </w:r>
    </w:p>
    <w:p>
      <w:r>
        <w:rPr>
          <w:b w:val="0"/>
          <w:i w:val="0"/>
        </w:rPr>
        <w:t>[3-3 -- Installation d'une prime de sujétion pour le travail le samedi (75 € nets) :]{.underline}</w:t>
      </w:r>
    </w:p>
    <w:p>
      <w:r>
        <w:rPr>
          <w:b w:val="0"/>
          <w:i w:val="0"/>
        </w:rPr>
        <w:t>75 € nets pèsent environ 92 € bruts.</w:t>
      </w:r>
    </w:p>
    <w:p>
      <w:r>
        <w:rPr>
          <w:b w:val="0"/>
          <w:i w:val="0"/>
        </w:rPr>
        <w:t>92 € x 238 bénéficiaires par mois x 12 mois = 262 752 € bruts soit 407 K€ chargés.</w:t>
      </w:r>
    </w:p>
    <w:p>
      <w:r>
        <w:rPr>
          <w:b w:val="0"/>
          <w:i w:val="0"/>
        </w:rPr>
        <w:t>Nous ne pouvons pas donner de suite favorable à cette demande.</w:t>
      </w:r>
    </w:p>
    <w:p>
      <w:r>
        <w:rPr>
          <w:b w:val="0"/>
          <w:i w:val="0"/>
        </w:rPr>
        <w:t>[3-4 -- Négociation de parcours professionnels :]{.underline}</w:t>
      </w:r>
    </w:p>
    <w:p>
      <w:pPr>
        <w:pStyle w:val="ListBullet"/>
      </w:pPr>
      <w:r>
        <w:rPr>
          <w:b w:val="0"/>
          <w:i w:val="0"/>
        </w:rPr>
        <w:t>Les préparateurs en pharmacie :</w:t>
      </w:r>
    </w:p>
    <w:p>
      <w:r>
        <w:rPr>
          <w:b w:val="0"/>
          <w:i w:val="0"/>
        </w:rPr>
        <w:t>Un parcours Unicancer a été signé fin 2024 et doit être déployé à l'ICO. Il pourrait toucher 20 personnes sur les 33 préparateurs que comprend au total la PUI. Nous sommes en cours d'instruction de ce dossier : nous préciserons cette 1^ère^ approche dans quelques semaines.</w:t>
      </w:r>
    </w:p>
    <w:p>
      <w:r>
        <w:rPr>
          <w:b w:val="0"/>
          <w:i w:val="0"/>
        </w:rPr>
        <w:t>Nous ne donnons pas suite à cette proposition.</w:t>
      </w:r>
    </w:p>
    <w:p>
      <w:pPr>
        <w:pStyle w:val="ListBullet"/>
      </w:pPr>
      <w:r>
        <w:rPr>
          <w:b w:val="0"/>
          <w:i w:val="0"/>
        </w:rPr>
        <w:t>Les secrétaires administratives :</w:t>
      </w:r>
    </w:p>
    <w:p>
      <w:r>
        <w:rPr>
          <w:b w:val="0"/>
          <w:i w:val="0"/>
        </w:rPr>
        <w:t>La CCN prévoit 3 emplois pour cette filière (technicien administratif C, Secrétaire D, Assistant de Gestion E). L'accès à l'une de ces qualifications dépend de la nature des tâches à effectuer.</w:t>
      </w:r>
    </w:p>
    <w:p>
      <w:r>
        <w:rPr>
          <w:b w:val="0"/>
          <w:i w:val="0"/>
        </w:rPr>
        <w:t>Nous n'observons pas de difficultés particulières pour pourvoir ces emplois. Nous ne donnons pas suite à la demande.</w:t>
      </w:r>
    </w:p>
    <w:p>
      <w:pPr>
        <w:pStyle w:val="ListBullet"/>
      </w:pPr>
      <w:r>
        <w:rPr>
          <w:b w:val="0"/>
          <w:i w:val="0"/>
        </w:rPr>
        <w:t>Les techniciens :</w:t>
      </w:r>
    </w:p>
    <w:p>
      <w:r>
        <w:rPr>
          <w:b w:val="0"/>
          <w:i w:val="0"/>
        </w:rPr>
        <w:t>La CCN prévoit 3 emplois pour cette filière (E, F et G). L'accès à l'une de ces qualifications dépend de la nature des tâches à effectuer.</w:t>
      </w:r>
    </w:p>
    <w:p>
      <w:r>
        <w:rPr>
          <w:b w:val="0"/>
          <w:i w:val="0"/>
        </w:rPr>
        <w:t>Nous n'observons pas de difficultés particulières pour pourvoir ces emplois. Nous ne donnons pas suite à la demande.</w:t>
      </w:r>
    </w:p>
    <w:p>
      <w:pPr>
        <w:pStyle w:val="ListBullet"/>
      </w:pPr>
      <w:r>
        <w:rPr>
          <w:b w:val="0"/>
          <w:i w:val="0"/>
        </w:rPr>
        <w:t>Les ASH</w:t>
      </w:r>
    </w:p>
    <w:p>
      <w:r>
        <w:rPr>
          <w:b w:val="0"/>
          <w:i w:val="0"/>
        </w:rPr>
        <w:t>Ils sont aujourd'hui classés B. Nous observons qu'à l'ICO, ils bénéficient de la prime Ségur 1 (248.98 € bruts mensuels pour un temps plein), contrairement aux ASH des sous-traitants pouvant intervenir à l'ICO.</w:t>
      </w:r>
    </w:p>
    <w:p>
      <w:r>
        <w:rPr>
          <w:b w:val="0"/>
          <w:i w:val="0"/>
        </w:rPr>
        <w:t>Nous ne donnons pas suite à cette revendication.</w:t>
      </w:r>
    </w:p>
    <w:p>
      <w:pPr>
        <w:pStyle w:val="ListBullet"/>
      </w:pPr>
      <w:r>
        <w:rPr>
          <w:b w:val="0"/>
          <w:i w:val="0"/>
        </w:rPr>
        <w:t>Les AS :</w:t>
      </w:r>
    </w:p>
    <w:p>
      <w:r>
        <w:rPr>
          <w:b w:val="0"/>
          <w:i w:val="0"/>
        </w:rPr>
        <w:t>La CCN prévoit la spécialisation pour les AS et permet ainsi le passage de D à E pour les salariés répondant aux conditions de la CCN.</w:t>
      </w:r>
    </w:p>
    <w:p>
      <w:r>
        <w:rPr>
          <w:b w:val="0"/>
          <w:i w:val="0"/>
        </w:rPr>
        <w:t>Un parcours impliquerait de prévoir un passage vers F. C'est la classification d'entrée des IDE et des MER. Nous ne donnons pas de suite à cette revendication.</w:t>
      </w:r>
    </w:p>
    <w:p>
      <w:r>
        <w:rPr>
          <w:b w:val="0"/>
          <w:i w:val="0"/>
        </w:rPr>
        <w:t>[3-5 -- La mise en place d'une BIC de 1% entièrement « bacable » :]{.underline}</w:t>
      </w:r>
    </w:p>
    <w:p>
      <w:r>
        <w:rPr>
          <w:b w:val="0"/>
          <w:i w:val="0"/>
        </w:rPr>
        <w:t>Le 0,4 % a pesé 128 K€ brut en 2025, soit environ 200 K€ chargés.</w:t>
      </w:r>
    </w:p>
    <w:p>
      <w:r>
        <w:rPr>
          <w:b w:val="0"/>
          <w:i w:val="0"/>
        </w:rPr>
        <w:t>Si nous partons en mode « bacable », ça pèsera 200 K€ en 2026, 400 K€ l'année suivante (200 de BIC et 200 de BAC), 600 K€ l'année suivante (200 de BIC et 400 de BAC), 800 K€ l'année suivante (200 de BIC et 600 de BAC) ...</w:t>
      </w:r>
    </w:p>
    <w:p>
      <w:r>
        <w:rPr>
          <w:b w:val="0"/>
          <w:i w:val="0"/>
        </w:rPr>
        <w:t>Nous ne souhaitons pas nous engager dans cette voie.</w:t>
      </w:r>
    </w:p>
    <w:p>
      <w:r>
        <w:rPr>
          <w:b w:val="0"/>
          <w:i w:val="0"/>
        </w:rPr>
        <w:t>[3-6 -- Forfait mobilité douce augmenté et étendue aux trottinettes :]{.underline}</w:t>
      </w:r>
    </w:p>
    <w:p>
      <w:r>
        <w:rPr>
          <w:b w:val="0"/>
          <w:i w:val="0"/>
        </w:rPr>
        <w:t>Par voie d'accord séparé des NAO, nous donnons suite à ces revendications :</w:t>
      </w:r>
    </w:p>
    <w:p>
      <w:pPr>
        <w:pStyle w:val="ListBullet"/>
      </w:pPr>
    </w:p>
    <w:p>
      <w:r>
        <w:rPr>
          <w:b w:val="0"/>
          <w:i w:val="0"/>
        </w:rPr>
        <w:t>Extension de la prime aux trottinettes électriques</w:t>
      </w:r>
    </w:p>
    <w:p>
      <w:pPr>
        <w:pStyle w:val="ListBullet"/>
      </w:pPr>
    </w:p>
    <w:p>
      <w:r>
        <w:rPr>
          <w:b w:val="0"/>
          <w:i w:val="0"/>
        </w:rPr>
        <w:t>Augmentation de la prime de mobilité douce de 150 à 300 € annuels.</w:t>
      </w:r>
    </w:p>
    <w:p>
      <w:r>
        <w:rPr>
          <w:b w:val="0"/>
          <w:i w:val="0"/>
        </w:rPr>
        <w:t>Nous proposerons un nouvel accord mobilité douce à la signature d'ici au 31 octobre 2025 pour acter cela. Une limite sera posée en cas de cumul de prime mobilité douce pour rester dans l'enveloppe d'exonération en vigueur.</w:t>
      </w:r>
    </w:p>
    <w:p>
      <w:r>
        <w:rPr>
          <w:b w:val="0"/>
          <w:i w:val="0"/>
        </w:rPr>
        <w:t>[3-7 -- Ouvrir une négociation sur la semaine de 4 jours :]{.underline}</w:t>
      </w:r>
    </w:p>
    <w:p>
      <w:r>
        <w:rPr>
          <w:b w:val="0"/>
          <w:i w:val="0"/>
        </w:rPr>
        <w:t>A ce jour, et dans le format actuel, le test sur la semaine de 4 jours mis en place n'est pas concluant. Nous poursuivons nos démarches pour identifier un calibrage adapté pour les non-cadres.</w:t>
      </w:r>
    </w:p>
    <w:p>
      <w:r>
        <w:rPr>
          <w:b w:val="0"/>
          <w:i w:val="0"/>
        </w:rPr>
        <w:t>Nous n'envisageons pas ce dispositif pour les cadres. Cela impliquerait en effet de réviser la durée du forfait jours. Nous n'irons pas vers cela pour les raisons suivantes :</w:t>
      </w:r>
    </w:p>
    <w:p>
      <w:r>
        <w:rPr>
          <w:b w:val="0"/>
          <w:i w:val="0"/>
        </w:rPr>
        <w:t>- Quand l'approche est testée avec les non-cadres, le quota total de travail est maintenu (1582 heures pour un temps plein). Or la semaine de 4 jours chez les cadres viendrait de fait, ajouter des jours de repos pour les cadres.</w:t>
      </w:r>
    </w:p>
    <w:p>
      <w:r>
        <w:rPr>
          <w:b w:val="0"/>
          <w:i w:val="0"/>
        </w:rPr>
        <w:t>- L'examen de la réalité montre aujourd'hui un statut convenable avec 6 semaines de CP et près de 4 semaines RTT pour un cadre. Il montre également une prédominance des cadres dans l'alimentation des CET, signe que les congés (CP et RTT) ne sont pas tous consommés.</w:t>
      </w:r>
    </w:p>
    <w:p>
      <w:r>
        <w:rPr>
          <w:b w:val="0"/>
          <w:i w:val="0"/>
        </w:rPr>
        <w:t>[3-8 -- Création d'un congé spécifique en lien avec action humanitaire :]{.underline}</w:t>
      </w:r>
    </w:p>
    <w:p>
      <w:r>
        <w:rPr>
          <w:b w:val="0"/>
          <w:i w:val="0"/>
        </w:rPr>
        <w:t>Lors des échanges en réunion, la demande est précisée. Il s'agit de trouver un dispositif plus souple que celui du congé sabbatique pour permettre à des salariés de prendre un congé « humanitaire » non rémunéré à intervalle plus régulier que ce que permet le congé sabbatique.</w:t>
      </w:r>
    </w:p>
    <w:p>
      <w:r>
        <w:rPr>
          <w:b w:val="0"/>
          <w:i w:val="0"/>
        </w:rPr>
        <w:t>La demande est entendue : nous nous engageons à ouvrir une négociation sur ce dossier d'ici la fin de l'année 2025.</w:t>
      </w:r>
    </w:p>
    <w:p>
      <w:r>
        <w:rPr>
          <w:b w:val="0"/>
          <w:i w:val="0"/>
        </w:rPr>
        <w:t>[3-9 -- Création d'un palier de PEP supplémentaire pour les non-cadres :]{.underline}</w:t>
      </w:r>
    </w:p>
    <w:p>
      <w:r>
        <w:rPr>
          <w:b w:val="0"/>
          <w:i w:val="0"/>
        </w:rPr>
        <w:t>Nous ne donnons pas suite à cette revendication. Cette revendication est à traitée au niveau d'Unicancer.</w:t>
      </w:r>
    </w:p>
    <w:p>
      <w:r>
        <w:rPr>
          <w:b w:val="0"/>
          <w:i w:val="0"/>
        </w:rPr>
        <w:t>[3-10 -- Conservation de la PEP lors du passage du statut non-cadre au statut cadre]{.underline}</w:t>
      </w:r>
    </w:p>
    <w:p>
      <w:r>
        <w:rPr>
          <w:b w:val="0"/>
          <w:i w:val="0"/>
        </w:rPr>
        <w:t>La conservation intégrale ne semble pas adaptée : l'écart de grille est déjà bien copieux. Nous nous arrêtons à 50% de reprise, posant ainsi une égalité de traitement avec un recrutement externe.</w:t>
      </w:r>
    </w:p>
    <w:p>
      <w:r>
        <w:rPr>
          <w:b w:val="0"/>
          <w:i w:val="0"/>
        </w:rPr>
        <w:t>Nous mettons cette mesure en place à effet du 1^er^ janvier 2025.</w:t>
      </w:r>
    </w:p>
    <w:p>
      <w:r>
        <w:rPr>
          <w:b w:val="0"/>
          <w:i w:val="0"/>
        </w:rPr>
        <w:t>[3-11 -- création d'une prime d'ancienneté pour les salariés ayant 20 ans (en jours ou en valeurs) :]{.underline}</w:t>
      </w:r>
    </w:p>
    <w:p>
      <w:r>
        <w:rPr>
          <w:b w:val="0"/>
          <w:i w:val="0"/>
        </w:rPr>
        <w:t>Nous restons dans le cadre conventionnel sur ce point (avec les mécanismes VAP et PEP qui répondent à cela).</w:t>
      </w:r>
    </w:p>
    <w:p>
      <w:r>
        <w:rPr>
          <w:b/>
          <w:i w:val="0"/>
        </w:rPr>
        <w:t>4 -- Formalité de dépôt et de publicité</w:t>
      </w:r>
    </w:p>
    <w:p>
      <w:r>
        <w:rPr>
          <w:b w:val="0"/>
          <w:i w:val="0"/>
        </w:rPr>
        <w:t>Un exemplaire original est remis à chaque délégué syndical de l'ensemble des organisations syndicales représentatives de l'ICO.</w:t>
      </w:r>
    </w:p>
    <w:p>
      <w:r>
        <w:rPr>
          <w:b w:val="0"/>
          <w:i w:val="0"/>
        </w:rPr>
        <w:t>Le présent procès-verbal sera porté à la connaissance du personnel par sa mise en ligne sur l'intranet de l'entreprise.</w:t>
      </w:r>
    </w:p>
    <w:p>
      <w:r>
        <w:rPr>
          <w:b w:val="0"/>
          <w:i w:val="0"/>
        </w:rPr>
        <w:t>Le présent accord donnera lieu à dépôt dans les conditions prévues aux articles L. 2231-6 et D. 2231- 2 et suivants du code du travail. Il sera déposé :</w:t>
      </w:r>
    </w:p>
    <w:p>
      <w:pPr>
        <w:pStyle w:val="ListBullet"/>
      </w:pPr>
    </w:p>
    <w:p>
      <w:r>
        <w:rPr>
          <w:b w:val="0"/>
          <w:i w:val="0"/>
        </w:rPr>
        <w:t>Sur la plateforme de téléprocédure dénommée « TéléAccords » accompagné des pièces prévues aux articles D. 2231-6 et D. 2231-7 du code du travail (</w:t>
      </w:r>
      <w:r>
        <w:rPr>
          <w:b w:val="0"/>
          <w:i w:val="0"/>
        </w:rPr>
        <w:t>www.teleaccords.travail-emploi.gouv.fr/PortailTeleprocedures/</w:t>
      </w:r>
      <w:r>
        <w:rPr>
          <w:b w:val="0"/>
          <w:i w:val="0"/>
        </w:rPr>
        <w:t>).;</w:t>
      </w:r>
    </w:p>
    <w:p>
      <w:pPr>
        <w:pStyle w:val="ListBullet"/>
      </w:pPr>
    </w:p>
    <w:p>
      <w:r>
        <w:rPr>
          <w:b w:val="0"/>
          <w:i w:val="0"/>
        </w:rPr>
        <w:t>Et en un exemplaire auprès du secrétariat greffe du conseil de prud\'hommes du lieu de sa conclusion.</w:t>
      </w:r>
    </w:p>
    <w:p>
      <w:r>
        <w:rPr>
          <w:b w:val="0"/>
          <w:i w:val="0"/>
        </w:rPr>
        <w:t>Les Parties rappellent que, dans un acte distinct du présent accord, elles pourront convenir qu'une partie du présent accord ne fera pas l'objet de la publication prévue à l'article L 2231-5-1 du Code du travail. En outre, l\'employeur peut occulter les éléments portant atteinte aux intérêts stratégiques de l\'entreprise.</w:t>
      </w:r>
    </w:p>
    <w:p>
      <w:r>
        <w:rPr>
          <w:b w:val="0"/>
          <w:i w:val="0"/>
        </w:rPr>
        <w:t>Fait à Angers,</w:t>
      </w:r>
    </w:p>
    <w:p>
      <w:r>
        <w:rPr>
          <w:b w:val="0"/>
          <w:i w:val="0"/>
        </w:rPr>
        <w:t>Le 13 octobre 2025</w:t>
      </w:r>
    </w:p>
    <w:p>
      <w:r>
        <w:rPr>
          <w:b w:val="0"/>
          <w:i w:val="0"/>
        </w:rPr>
        <w:t>En 5 exemplaires originaux</w:t>
      </w:r>
    </w:p>
    <w:p>
      <w:r>
        <w:rPr>
          <w:b w:val="0"/>
          <w:i w:val="0"/>
        </w:rPr>
        <w:t>Pr Mario CAMPONE</w:t>
      </w:r>
    </w:p>
    <w:p>
      <w:r>
        <w:rPr>
          <w:b w:val="0"/>
          <w:i w:val="0"/>
        </w:rPr>
        <w:t>Directeur Général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