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Télétravail</w:t>
      </w:r>
    </w:p>
    <w:p>
      <w:pPr>
        <w:pStyle w:val="Heading1"/>
      </w:pPr>
      <w:r>
        <w:rPr>
          <w:b w:val="0"/>
          <w:i w:val="0"/>
        </w:rPr>
        <w:t>Accord télétravail — résumé pour tryptique</w:t>
      </w:r>
    </w:p>
    <w:p>
      <w:r>
        <w:rPr>
          <w:b/>
          <w:i w:val="0"/>
        </w:rPr>
        <w:t>Sur les références :</w:t>
      </w:r>
      <w:r>
        <w:rPr>
          <w:b w:val="0"/>
          <w:i w:val="0"/>
        </w:rPr>
        <w:t xml:space="preserve"> le dépôt GitHub ne contient, pour cet accord, que la version convertie en Markdown — pas de PDF signé retrouvé à ce jour dans le dossier </w:t>
      </w:r>
      <w:r>
        <w:rPr>
          <w:b w:val="0"/>
          <w:i w:val="0"/>
        </w:rPr>
        <w:t>accords-locaux</w:t>
      </w:r>
      <w:r>
        <w:rPr>
          <w:b w:val="0"/>
          <w:i w:val="0"/>
        </w:rPr>
        <w:t>. Les articles/sous-articles cités ci-dessous viennent du texte source (numérotés explicitement) ; pas de numéro de page tant que le PDF signé n'est pas disponible.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>VOLET 1 — Pourquoi cet accord ?</w:t>
      </w:r>
    </w:p>
    <w:p>
      <w:r>
        <w:rPr>
          <w:b/>
          <w:i w:val="0"/>
        </w:rPr>
        <w:t>Le contexte en bref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(Préambule)</w:t>
      </w:r>
    </w:p>
    <w:p>
      <w:r>
        <w:rPr>
          <w:b w:val="0"/>
          <w:i w:val="0"/>
        </w:rPr>
        <w:t xml:space="preserve">Depuis 2021, le télétravail a sa place à l'ICO. Cet accord est né d'une demande simple des salariés : mieux équilibrer vie pro et vie perso, gagner du temps de trajet, réduire le risque d'accident sur la route — sans jamais fragiliser la continuité et la sécurité des soins. Un principe protège tout le monde des deux côtés : le télétravail reste </w:t>
      </w:r>
      <w:r>
        <w:rPr>
          <w:b/>
          <w:i w:val="0"/>
        </w:rPr>
        <w:t>volontaire</w:t>
      </w:r>
      <w:r>
        <w:rPr>
          <w:b w:val="0"/>
          <w:i w:val="0"/>
        </w:rPr>
        <w:t xml:space="preserve">, personne ne peut vous l'imposer, et vous ne pouvez pas l'imposer non plus à votre service </w:t>
      </w:r>
      <w:r>
        <w:rPr>
          <w:b w:val="0"/>
          <w:i/>
          <w:color w:val="5B6578"/>
        </w:rPr>
        <w:t>(Art. 4.1 — double volontariat)</w:t>
      </w:r>
      <w:r>
        <w:rPr>
          <w:b w:val="0"/>
          <w:i w:val="0"/>
        </w:rPr>
        <w:t>.</w:t>
      </w:r>
    </w:p>
    <w:p>
      <w:r>
        <w:rPr>
          <w:b/>
          <w:i w:val="0"/>
        </w:rPr>
        <w:t>Qui peut en bénéficier ?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3 — Critères d'éligibilité)</w:t>
      </w:r>
    </w:p>
    <w:p>
      <w:pPr>
        <w:pStyle w:val="ListBullet"/>
      </w:pPr>
      <w:r>
        <w:rPr>
          <w:b w:val="0"/>
          <w:i w:val="0"/>
        </w:rPr>
        <w:t xml:space="preserve">Il faut au moins </w:t>
      </w:r>
      <w:r>
        <w:rPr>
          <w:b/>
          <w:i w:val="0"/>
        </w:rPr>
        <w:t>6 mois d'ancienneté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3.3 / Art. 2)</w:t>
      </w:r>
    </w:p>
    <w:p>
      <w:pPr>
        <w:pStyle w:val="ListBullet"/>
      </w:pPr>
      <w:r>
        <w:rPr>
          <w:b w:val="0"/>
          <w:i w:val="0"/>
        </w:rPr>
        <w:t xml:space="preserve">Travailler au moins </w:t>
      </w:r>
      <w:r>
        <w:rPr>
          <w:b/>
          <w:i w:val="0"/>
        </w:rPr>
        <w:t>50 %</w:t>
      </w:r>
      <w:r>
        <w:rPr>
          <w:b w:val="0"/>
          <w:i w:val="0"/>
        </w:rPr>
        <w:t xml:space="preserve"> d'un temps plein </w:t>
      </w:r>
      <w:r>
        <w:rPr>
          <w:b w:val="0"/>
          <w:i/>
          <w:color w:val="5B6578"/>
        </w:rPr>
        <w:t>(Art. 3.3)</w:t>
      </w:r>
    </w:p>
    <w:p>
      <w:pPr>
        <w:pStyle w:val="ListBullet"/>
      </w:pPr>
      <w:r>
        <w:rPr>
          <w:b w:val="0"/>
          <w:i w:val="0"/>
        </w:rPr>
        <w:t xml:space="preserve">Votre poste doit pouvoir se faire à distance — les métiers en contact direct avec les patients (accueil, soins) restent en dehors du dispositif, pour que la prise en charge ne soit jamais interrompue </w:t>
      </w:r>
      <w:r>
        <w:rPr>
          <w:b w:val="0"/>
          <w:i/>
          <w:color w:val="5B6578"/>
        </w:rPr>
        <w:t>(Art. 3.1)</w:t>
      </w:r>
    </w:p>
    <w:p>
      <w:pPr>
        <w:pStyle w:val="ListBullet"/>
      </w:pPr>
      <w:r>
        <w:rPr>
          <w:b w:val="0"/>
          <w:i w:val="0"/>
        </w:rPr>
        <w:t xml:space="preserve">Sont exclus : apprentis, contrats de professionnalisation, CUI-CEC, stagiaires </w:t>
      </w:r>
      <w:r>
        <w:rPr>
          <w:b w:val="0"/>
          <w:i/>
          <w:color w:val="5B6578"/>
        </w:rPr>
        <w:t>(Art. 3.3)</w:t>
      </w:r>
    </w:p>
    <w:p>
      <w:r>
        <w:rPr>
          <w:b/>
          <w:i w:val="0"/>
        </w:rPr>
        <w:t>Ce qu'il faut retenir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6 — Fréquence et nombre de jours)</w:t>
      </w:r>
    </w:p>
    <w:p>
      <w:pPr>
        <w:pStyle w:val="ListBullet"/>
      </w:pPr>
      <w:r>
        <w:rPr>
          <w:b w:val="0"/>
          <w:i w:val="0"/>
        </w:rPr>
        <w:t xml:space="preserve">Jusqu'à </w:t>
      </w:r>
      <w:r>
        <w:rPr>
          <w:b/>
          <w:i w:val="0"/>
        </w:rPr>
        <w:t>47 jours de télétravail par an</w:t>
      </w:r>
      <w:r>
        <w:rPr>
          <w:b w:val="0"/>
          <w:i w:val="0"/>
        </w:rPr>
        <w:t xml:space="preserve"> pour un temps plein, proratisés si vous êtes à temps partiel </w:t>
      </w:r>
      <w:r>
        <w:rPr>
          <w:b w:val="0"/>
          <w:i/>
          <w:color w:val="5B6578"/>
        </w:rPr>
        <w:t>(Art. 6, al. 1-3)</w:t>
      </w:r>
    </w:p>
    <w:p>
      <w:pPr>
        <w:pStyle w:val="ListBullet"/>
      </w:pPr>
      <w:r>
        <w:rPr>
          <w:b w:val="0"/>
          <w:i w:val="0"/>
        </w:rPr>
        <w:t xml:space="preserve">Concrètement, ça représente </w:t>
      </w:r>
      <w:r>
        <w:rPr>
          <w:b/>
          <w:i w:val="0"/>
        </w:rPr>
        <w:t>1 jour par semaine en moyenne</w:t>
      </w:r>
      <w:r>
        <w:rPr>
          <w:b w:val="0"/>
          <w:i w:val="0"/>
        </w:rPr>
        <w:t xml:space="preserve"> pour les non-cadres et cadres en heures (2 jours possibles selon le service) </w:t>
      </w:r>
      <w:r>
        <w:rPr>
          <w:b w:val="0"/>
          <w:i/>
          <w:color w:val="5B6578"/>
        </w:rPr>
        <w:t>(Art. 6)</w:t>
      </w:r>
    </w:p>
    <w:p>
      <w:pPr>
        <w:pStyle w:val="ListBullet"/>
      </w:pPr>
      <w:r>
        <w:rPr>
          <w:b w:val="0"/>
          <w:i w:val="0"/>
        </w:rPr>
        <w:t xml:space="preserve">Et jusqu'à </w:t>
      </w:r>
      <w:r>
        <w:rPr>
          <w:b/>
          <w:i w:val="0"/>
        </w:rPr>
        <w:t>3 jours par semaine</w:t>
      </w:r>
      <w:r>
        <w:rPr>
          <w:b w:val="0"/>
          <w:i w:val="0"/>
        </w:rPr>
        <w:t xml:space="preserve"> pour les cadres au forfait jour </w:t>
      </w:r>
      <w:r>
        <w:rPr>
          <w:b w:val="0"/>
          <w:i/>
          <w:color w:val="5B6578"/>
        </w:rPr>
        <w:t>(Art. 6)</w:t>
      </w:r>
    </w:p>
    <w:p>
      <w:pPr>
        <w:pStyle w:val="ListBullet"/>
      </w:pPr>
      <w:r>
        <w:rPr>
          <w:b w:val="0"/>
          <w:i w:val="0"/>
        </w:rPr>
        <w:t xml:space="preserve">Vous changez d'avis ? Le télétravail est </w:t>
      </w:r>
      <w:r>
        <w:rPr>
          <w:b/>
          <w:i w:val="0"/>
        </w:rPr>
        <w:t>réversible à tout moment</w:t>
      </w:r>
      <w:r>
        <w:rPr>
          <w:b w:val="0"/>
          <w:i w:val="0"/>
        </w:rPr>
        <w:t xml:space="preserve">, à votre seule initiative </w:t>
      </w:r>
      <w:r>
        <w:rPr>
          <w:b w:val="0"/>
          <w:i/>
          <w:color w:val="5B6578"/>
        </w:rPr>
        <w:t>(Art. 5.1 — Clause de réversibilité)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>VOLET 2 — Conditions &amp; modalités</w:t>
      </w:r>
    </w:p>
    <w:p>
      <w:r>
        <w:rPr>
          <w:b/>
          <w:i w:val="0"/>
        </w:rPr>
        <w:t>Comment faire la demande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4 — Modalités de demande et d'acceptation)</w:t>
      </w:r>
    </w:p>
    <w:p>
      <w:pPr>
        <w:pStyle w:val="ListNumber"/>
      </w:pPr>
      <w:r>
        <w:rPr>
          <w:b w:val="0"/>
          <w:i w:val="0"/>
        </w:rPr>
        <w:t xml:space="preserve">Vous adressez une demande écrite à votre responsable hiérarchique </w:t>
      </w:r>
      <w:r>
        <w:rPr>
          <w:b w:val="0"/>
          <w:i/>
          <w:color w:val="5B6578"/>
        </w:rPr>
        <w:t>(Art. 4.2)</w:t>
      </w:r>
    </w:p>
    <w:p>
      <w:pPr>
        <w:pStyle w:val="ListNumber"/>
      </w:pPr>
      <w:r>
        <w:rPr>
          <w:b w:val="0"/>
          <w:i w:val="0"/>
        </w:rPr>
        <w:t xml:space="preserve">La DRH doit vous répondre par écrit, et de façon motivée, sous </w:t>
      </w:r>
      <w:r>
        <w:rPr>
          <w:b/>
          <w:i w:val="0"/>
        </w:rPr>
        <w:t>1 mois maximum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4.3)</w:t>
      </w:r>
    </w:p>
    <w:p>
      <w:pPr>
        <w:pStyle w:val="ListNumber"/>
      </w:pPr>
      <w:r>
        <w:rPr>
          <w:b w:val="0"/>
          <w:i w:val="0"/>
        </w:rPr>
        <w:t xml:space="preserve">Les jours sont ensuite validés via l'outil de gestion des temps (GTA) </w:t>
      </w:r>
      <w:r>
        <w:rPr>
          <w:b w:val="0"/>
          <w:i/>
          <w:color w:val="5B6578"/>
        </w:rPr>
        <w:t>(Art. 4.2)</w:t>
      </w:r>
    </w:p>
    <w:p>
      <w:pPr>
        <w:pStyle w:val="ListNumber"/>
      </w:pPr>
      <w:r>
        <w:rPr>
          <w:b w:val="0"/>
          <w:i w:val="0"/>
        </w:rPr>
        <w:t xml:space="preserve">Si c'est non, ce n'est jamais un motif de sanction — et le refus doit être justifié par écrit, noir sur blanc </w:t>
      </w:r>
      <w:r>
        <w:rPr>
          <w:b w:val="0"/>
          <w:i/>
          <w:color w:val="5B6578"/>
        </w:rPr>
        <w:t>(Art. 4.4)</w:t>
      </w:r>
    </w:p>
    <w:p>
      <w:r>
        <w:rPr>
          <w:b/>
          <w:i w:val="0"/>
        </w:rPr>
        <w:t>Les délais à avoir en tête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6)</w:t>
      </w:r>
    </w:p>
    <w:p>
      <w:pPr>
        <w:pStyle w:val="ListBullet"/>
      </w:pPr>
      <w:r>
        <w:rPr>
          <w:b w:val="0"/>
          <w:i w:val="0"/>
        </w:rPr>
        <w:t xml:space="preserve">Pour changer un jour de télétravail : </w:t>
      </w:r>
      <w:r>
        <w:rPr>
          <w:b/>
          <w:i w:val="0"/>
        </w:rPr>
        <w:t>48h de délai de prévenance</w:t>
      </w:r>
      <w:r>
        <w:rPr>
          <w:b w:val="0"/>
          <w:i w:val="0"/>
        </w:rPr>
        <w:t xml:space="preserve"> (72h si vous êtes cadre au forfait jour)</w:t>
      </w:r>
    </w:p>
    <w:p>
      <w:pPr>
        <w:pStyle w:val="ListBullet"/>
      </w:pPr>
      <w:r>
        <w:rPr>
          <w:b w:val="0"/>
          <w:i w:val="0"/>
        </w:rPr>
        <w:t>Le planning se construit par trimestre, avec au moins 1 mois d'anticipation</w:t>
      </w:r>
    </w:p>
    <w:p>
      <w:r>
        <w:rPr>
          <w:b/>
          <w:i w:val="0"/>
        </w:rPr>
        <w:t>Ce que l'ICO met à votre disposition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8.1 — Équipements et matériels)</w:t>
      </w:r>
    </w:p>
    <w:p>
      <w:r>
        <w:rPr>
          <w:b w:val="0"/>
          <w:i w:val="0"/>
        </w:rPr>
        <w:t xml:space="preserve">Un PC portable, une souris filaire, l'alimentation et une sacoche. En revanche, pas de 2ᵉ écran, pas d'imprimante, pas de chaise ergonomique — et aucune indemnité financière n'est prévue pour les frais liés au télétravail (électricité, chauffage...) </w:t>
      </w:r>
      <w:r>
        <w:rPr>
          <w:b w:val="0"/>
          <w:i/>
          <w:color w:val="5B6578"/>
        </w:rPr>
        <w:t>(Art. 8.3, dernier alinéa)</w:t>
      </w:r>
      <w:r>
        <w:rPr>
          <w:b w:val="0"/>
          <w:i w:val="0"/>
        </w:rPr>
        <w:t>.</w:t>
      </w:r>
    </w:p>
    <w:p>
      <w:r>
        <w:rPr>
          <w:b/>
          <w:i w:val="0"/>
        </w:rPr>
        <w:t>Ce qu'on vous demande en retour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3.4 et Art. 8.3)</w:t>
      </w:r>
    </w:p>
    <w:p>
      <w:pPr>
        <w:pStyle w:val="ListBullet"/>
      </w:pPr>
      <w:r>
        <w:rPr>
          <w:b w:val="0"/>
          <w:i w:val="0"/>
        </w:rPr>
        <w:t xml:space="preserve">Disposer chez vous d'un espace dédié et d'une connexion internet suffisante </w:t>
      </w:r>
      <w:r>
        <w:rPr>
          <w:b w:val="0"/>
          <w:i/>
          <w:color w:val="5B6578"/>
        </w:rPr>
        <w:t>(Art. 3.4)</w:t>
      </w:r>
    </w:p>
    <w:p>
      <w:pPr>
        <w:pStyle w:val="ListBullet"/>
      </w:pPr>
      <w:r>
        <w:rPr>
          <w:b w:val="0"/>
          <w:i w:val="0"/>
        </w:rPr>
        <w:t xml:space="preserve">Souscrire une assurance habitation multirisques avec responsabilité civile </w:t>
      </w:r>
      <w:r>
        <w:rPr>
          <w:b w:val="0"/>
          <w:i/>
          <w:color w:val="5B6578"/>
        </w:rPr>
        <w:t>(Art. 8.3)</w:t>
      </w:r>
    </w:p>
    <w:p>
      <w:pPr>
        <w:pStyle w:val="ListBullet"/>
      </w:pPr>
      <w:r>
        <w:rPr>
          <w:b w:val="0"/>
          <w:i w:val="0"/>
        </w:rPr>
        <w:t xml:space="preserve">Veiller à une confidentialité renforcée : données, mots de passe, etc. </w:t>
      </w:r>
      <w:r>
        <w:rPr>
          <w:b w:val="0"/>
          <w:i/>
          <w:color w:val="5B6578"/>
        </w:rPr>
        <w:t>(Art. 10.3)</w:t>
      </w:r>
    </w:p>
    <w:p>
      <w:r>
        <w:rPr>
          <w:b/>
          <w:i w:val="0"/>
        </w:rPr>
        <w:t>⚠ Un point à ne pas négliger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7.2 et 7.3 — Droit à la déconnexion)</w:t>
      </w:r>
    </w:p>
    <w:p>
      <w:r>
        <w:rPr>
          <w:b w:val="0"/>
          <w:i w:val="0"/>
        </w:rPr>
        <w:t xml:space="preserve">Votre droit à la déconnexion est garanti : personne ne doit vous solliciter professionnellement avant 8h ou après 20h, sauf urgence réelle </w:t>
      </w:r>
      <w:r>
        <w:rPr>
          <w:b w:val="0"/>
          <w:i/>
          <w:color w:val="5B6578"/>
        </w:rPr>
        <w:t>(Art. 7.2)</w:t>
      </w:r>
      <w:r>
        <w:rPr>
          <w:b w:val="0"/>
          <w:i w:val="0"/>
        </w:rPr>
        <w:t xml:space="preserve">. Les plages où l'on peut vous contacter se fixent avec votre manager, pas l'inverse </w:t>
      </w:r>
      <w:r>
        <w:rPr>
          <w:b w:val="0"/>
          <w:i/>
          <w:color w:val="5B6578"/>
        </w:rPr>
        <w:t>(Art. 7.3)</w:t>
      </w:r>
      <w:r>
        <w:rPr>
          <w:b w:val="0"/>
          <w:i w:val="0"/>
        </w:rPr>
        <w:t>.</w:t>
      </w:r>
    </w:p>
    <w:p>
      <w:r>
        <w:rPr>
          <w:b/>
          <w:i w:val="0"/>
        </w:rPr>
        <w:t>Bon à savoir</w:t>
      </w:r>
    </w:p>
    <w:p>
      <w:pPr>
        <w:pStyle w:val="ListBullet"/>
      </w:pPr>
      <w:r>
        <w:rPr>
          <w:b w:val="0"/>
          <w:i w:val="0"/>
        </w:rPr>
        <w:t xml:space="preserve">Un accident chez vous pendant un jour de télétravail est traité </w:t>
      </w:r>
      <w:r>
        <w:rPr>
          <w:b/>
          <w:i w:val="0"/>
        </w:rPr>
        <w:t>exactement comme un accident sur site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9.2)</w:t>
      </w:r>
    </w:p>
    <w:p>
      <w:pPr>
        <w:pStyle w:val="ListBullet"/>
      </w:pPr>
      <w:r>
        <w:rPr>
          <w:b w:val="0"/>
          <w:i w:val="0"/>
        </w:rPr>
        <w:t xml:space="preserve">Vous gardez </w:t>
      </w:r>
      <w:r>
        <w:rPr>
          <w:b/>
          <w:i w:val="0"/>
        </w:rPr>
        <w:t>tous vos droits</w:t>
      </w:r>
      <w:r>
        <w:rPr>
          <w:b w:val="0"/>
          <w:i w:val="0"/>
        </w:rPr>
        <w:t xml:space="preserve">, collectifs comme individuels : informations syndicales, élections professionnelles, accès à la formation — le télétravail ne vous met pas à l'écart </w:t>
      </w:r>
      <w:r>
        <w:rPr>
          <w:b w:val="0"/>
          <w:i/>
          <w:color w:val="5B6578"/>
        </w:rPr>
        <w:t>(Art. 10.1)</w:t>
      </w:r>
    </w:p>
    <w:p>
      <w:pPr>
        <w:pStyle w:val="ListBullet"/>
      </w:pPr>
      <w:r>
        <w:rPr>
          <w:b w:val="0"/>
          <w:i w:val="0"/>
        </w:rPr>
        <w:t xml:space="preserve">L'accord est suivi chaque année en CSSCT centrale, avec une clause de revoyure au bout d'un an </w:t>
      </w:r>
      <w:r>
        <w:rPr>
          <w:b w:val="0"/>
          <w:i/>
          <w:color w:val="5B6578"/>
        </w:rPr>
        <w:t>(Art. 12.1)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Base : accord signé le 27 avril 2021 (CGT-FO, Sud Santé-Sociaux, CFDT, CFE-CGC).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