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Validation des Acquis Professionnels (VAP)</w:t>
      </w:r>
    </w:p>
    <w:p>
      <w:pPr>
        <w:pStyle w:val="Heading1"/>
      </w:pPr>
      <w:r>
        <w:rPr>
          <w:b w:val="0"/>
          <w:i w:val="0"/>
        </w:rPr>
        <w:t>Validation des Acquis Professionnels (VAP)</w:t>
      </w:r>
    </w:p>
    <w:p>
      <w:r>
        <w:rPr>
          <w:b/>
          <w:i w:val="0"/>
        </w:rPr>
        <w:t>Accord de base signé le 22 mars 2024, automatisant les paliers 1 et 2. Avenant du 4 février 2025 (signé CGT-FO par délégation, CFE-CGC, Sud Santé-Sociaux) intégrant le 3e palier créé par l'avenant CCN Unicancer 2024-04 à effet du 1er janvier 2025.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Accord à durée indéterminée.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>Qui est concerné</w:t>
      </w:r>
    </w:p>
    <w:p>
      <w:r>
        <w:rPr>
          <w:b w:val="0"/>
          <w:i w:val="0"/>
        </w:rPr>
        <w:t xml:space="preserve">Tout le </w:t>
      </w:r>
      <w:r>
        <w:rPr>
          <w:b/>
          <w:i w:val="0"/>
        </w:rPr>
        <w:t>personnel non-praticien</w:t>
      </w:r>
      <w:r>
        <w:rPr>
          <w:b w:val="0"/>
          <w:i w:val="0"/>
        </w:rPr>
        <w:t xml:space="preserve"> de l'ICO, pour les passages de palier prévus par la CCN des Centres de Lutte Contre le Cancer </w:t>
      </w:r>
      <w:r>
        <w:rPr>
          <w:b w:val="0"/>
          <w:i/>
          <w:color w:val="5B6578"/>
        </w:rPr>
        <w:t>(CCN art. 2.9.1.2)</w:t>
      </w:r>
      <w:r>
        <w:rPr>
          <w:b w:val="0"/>
          <w:i w:val="0"/>
        </w:rPr>
        <w:t>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Ce que prévoit l'accord </w:t>
      </w:r>
      <w:r>
        <w:rPr>
          <w:b w:val="0"/>
          <w:i/>
          <w:color w:val="5B6578"/>
        </w:rPr>
        <w:t>(Art. 2)</w:t>
      </w:r>
    </w:p>
    <w:p>
      <w:r>
        <w:rPr>
          <w:b w:val="0"/>
          <w:i w:val="0"/>
        </w:rPr>
        <w:t xml:space="preserve">Depuis plusieurs années, le taux de validation des passages de palier est supérieur à </w:t>
      </w:r>
      <w:r>
        <w:rPr>
          <w:b/>
          <w:i w:val="0"/>
        </w:rPr>
        <w:t>98%</w:t>
      </w:r>
      <w:r>
        <w:rPr>
          <w:b w:val="0"/>
          <w:i w:val="0"/>
        </w:rPr>
        <w:t xml:space="preserve"> à l'ICO. Pour simplifier le processus, les parties ont convenu d'automatiser la mise en œuvre des trois paliers de VAP :</w:t>
      </w:r>
    </w:p>
    <w:p>
      <w:pPr>
        <w:pStyle w:val="ListBullet"/>
      </w:pPr>
      <w:r>
        <w:rPr>
          <w:b/>
          <w:i w:val="0"/>
        </w:rPr>
        <w:t>Palier 1 et 2</w:t>
      </w:r>
      <w:r>
        <w:rPr>
          <w:b w:val="0"/>
          <w:i w:val="0"/>
        </w:rPr>
        <w:t xml:space="preserve"> : automatisés depuis l'accord du 22 mars 2024 — le passage est effectué d'office dès que les conditions d'ancienneté définies par la CCN pour votre emploi sont réunies, sans que vous ayez de démarche à faire</w:t>
      </w:r>
    </w:p>
    <w:p>
      <w:pPr>
        <w:pStyle w:val="ListBullet"/>
      </w:pPr>
      <w:r>
        <w:rPr>
          <w:b/>
          <w:i w:val="0"/>
        </w:rPr>
        <w:t>Palier 3</w:t>
      </w:r>
      <w:r>
        <w:rPr>
          <w:b w:val="0"/>
          <w:i w:val="0"/>
        </w:rPr>
        <w:t xml:space="preserve"> : automatisé par l'avenant du 4 février 2025, à effet du 1er janvier 2025 — instauré au niveau de la branche Unicancer par l'avenant CCN 2024-04</w:t>
      </w:r>
    </w:p>
    <w:p>
      <w:r>
        <w:rPr>
          <w:b w:val="0"/>
          <w:i w:val="0"/>
        </w:rPr>
        <w:t>Les critères d'évaluation (EAA et GPEC) restent inchangés. Seul le processus administratif est simplifié.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VAP (22/03/2024) et son avenant (04/02/2025), signés CGT-FO, CFE-CGC, Sud Santé-Sociaux.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